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E87" w:rsidRDefault="00D67E87" w:rsidP="00D67E87">
      <w:pPr>
        <w:jc w:val="both"/>
      </w:pPr>
      <w:r w:rsidRPr="00130BC6">
        <w:rPr>
          <w:i/>
        </w:rPr>
        <w:t>Конференција на МАНУ, “Идни предизвици на економскиот развој и економската политика на Република Македонија”</w:t>
      </w:r>
      <w:r>
        <w:t>, 4 и 5. Октомври 2018 година, Охрид</w:t>
      </w:r>
    </w:p>
    <w:p w:rsidR="00D67E87" w:rsidRDefault="00D67E87" w:rsidP="00D67E87">
      <w:pPr>
        <w:jc w:val="both"/>
      </w:pPr>
    </w:p>
    <w:p w:rsidR="002F54FB" w:rsidRDefault="002F54FB" w:rsidP="001213AB">
      <w:pPr>
        <w:spacing w:line="276" w:lineRule="auto"/>
        <w:rPr>
          <w:lang w:val="mk-MK"/>
        </w:rPr>
      </w:pPr>
      <w:r>
        <w:rPr>
          <w:lang w:val="mk-MK"/>
        </w:rPr>
        <w:t>Проф. д-р Сашо Арсов</w:t>
      </w:r>
    </w:p>
    <w:p w:rsidR="002F54FB" w:rsidRDefault="002F54FB" w:rsidP="001213AB">
      <w:pPr>
        <w:spacing w:line="276" w:lineRule="auto"/>
        <w:rPr>
          <w:lang w:val="mk-MK"/>
        </w:rPr>
      </w:pPr>
      <w:r>
        <w:rPr>
          <w:lang w:val="mk-MK"/>
        </w:rPr>
        <w:t>Економски факултет</w:t>
      </w:r>
    </w:p>
    <w:p w:rsidR="002F54FB" w:rsidRDefault="002F54FB" w:rsidP="001213AB">
      <w:pPr>
        <w:spacing w:line="276" w:lineRule="auto"/>
        <w:rPr>
          <w:lang w:val="mk-MK"/>
        </w:rPr>
      </w:pPr>
      <w:r>
        <w:rPr>
          <w:lang w:val="mk-MK"/>
        </w:rPr>
        <w:t>Универзитет „Св.Кирил и Методиј“ во Скопје</w:t>
      </w:r>
    </w:p>
    <w:p w:rsidR="00D67E87" w:rsidRDefault="00D67E87" w:rsidP="001213AB">
      <w:pPr>
        <w:spacing w:line="276" w:lineRule="auto"/>
        <w:rPr>
          <w:lang w:val="mk-MK"/>
        </w:rPr>
      </w:pPr>
    </w:p>
    <w:p w:rsidR="002F54FB" w:rsidRDefault="002F54FB" w:rsidP="001213AB">
      <w:pPr>
        <w:spacing w:line="276" w:lineRule="auto"/>
        <w:jc w:val="center"/>
        <w:rPr>
          <w:b/>
        </w:rPr>
      </w:pPr>
    </w:p>
    <w:p w:rsidR="002F54FB" w:rsidRDefault="002F54FB" w:rsidP="001213AB">
      <w:pPr>
        <w:spacing w:line="276" w:lineRule="auto"/>
        <w:jc w:val="center"/>
        <w:rPr>
          <w:b/>
        </w:rPr>
      </w:pPr>
    </w:p>
    <w:p w:rsidR="002F54FB" w:rsidRPr="00AC7C92" w:rsidRDefault="002F54FB" w:rsidP="001213AB">
      <w:pPr>
        <w:spacing w:line="276" w:lineRule="auto"/>
        <w:jc w:val="center"/>
        <w:rPr>
          <w:b/>
          <w:lang w:val="mk-MK"/>
        </w:rPr>
      </w:pPr>
      <w:r w:rsidRPr="00AC7C92">
        <w:rPr>
          <w:b/>
          <w:lang w:val="mk-MK"/>
        </w:rPr>
        <w:t>КОНЗЕРВАТИВИЗМОТ ВО ФИНАНСИСКОТО И КОРПОРАТИВНОТО УПРАВУВАЊЕ НА МАКЕДОНСКИТЕ КОМПАНИИ КАКО ПРЕ</w:t>
      </w:r>
      <w:r>
        <w:rPr>
          <w:b/>
          <w:lang w:val="mk-MK"/>
        </w:rPr>
        <w:t>Ч</w:t>
      </w:r>
      <w:r w:rsidRPr="00AC7C92">
        <w:rPr>
          <w:b/>
          <w:lang w:val="mk-MK"/>
        </w:rPr>
        <w:t>КА ЗА ПОБРЗ ЕКОНОМСКИ РАСТЕЖ</w:t>
      </w:r>
    </w:p>
    <w:p w:rsidR="002F54FB" w:rsidRDefault="002F54FB" w:rsidP="001213AB">
      <w:pPr>
        <w:spacing w:line="276" w:lineRule="auto"/>
        <w:rPr>
          <w:lang w:val="mk-MK"/>
        </w:rPr>
      </w:pPr>
    </w:p>
    <w:p w:rsidR="002F54FB" w:rsidRDefault="002F54FB" w:rsidP="001213AB">
      <w:pPr>
        <w:spacing w:line="276" w:lineRule="auto"/>
        <w:jc w:val="center"/>
        <w:rPr>
          <w:lang w:val="mk-MK"/>
        </w:rPr>
      </w:pPr>
      <w:r>
        <w:rPr>
          <w:lang w:val="mk-MK"/>
        </w:rPr>
        <w:t>Апстракт</w:t>
      </w:r>
    </w:p>
    <w:p w:rsidR="002F54FB" w:rsidRDefault="002F54FB" w:rsidP="001213AB">
      <w:pPr>
        <w:spacing w:line="276" w:lineRule="auto"/>
        <w:jc w:val="center"/>
        <w:rPr>
          <w:lang w:val="mk-MK"/>
        </w:rPr>
      </w:pPr>
    </w:p>
    <w:p w:rsidR="002F54FB" w:rsidRDefault="002F54FB" w:rsidP="001213AB">
      <w:pPr>
        <w:spacing w:line="276" w:lineRule="auto"/>
        <w:jc w:val="both"/>
        <w:rPr>
          <w:lang w:val="mk-MK"/>
        </w:rPr>
      </w:pPr>
      <w:r>
        <w:rPr>
          <w:lang w:val="mk-MK"/>
        </w:rPr>
        <w:tab/>
        <w:t>Во трудот е направена анализа на различни аспекти на управувањето со финансиите и на корпоративното управување на македонските компании, низ призмата на принципите на современите корпоративни финансии. Анализата на структурата на капиталот на 32 најголеми котирани акционерски друштва, со примена на панел регресија, покажа дека кај нив доминира т.н. пристап на хиерархија (редослед) во финансирањето. Според него, компаниите своите потреби од финансирање најпрво ги задоволуваат од сопствени извори, потоа прибегнуваат кон задолжување, а само по исклучок емитуваат акции. Импликациите на ваквиот пристап се во ограничените можности за растеж на компаниите. Податоците за готовинските текови се во согласно со претходниот заклучок. Во текот на набљудуваниот десетгодишен период, вкупните инвестиции на компаниите се пониски од вкупните генерирани готовински текови од оперативни активности.</w:t>
      </w:r>
    </w:p>
    <w:p w:rsidR="002F54FB" w:rsidRDefault="002F54FB" w:rsidP="001213AB">
      <w:pPr>
        <w:spacing w:line="276" w:lineRule="auto"/>
        <w:jc w:val="both"/>
        <w:rPr>
          <w:lang w:val="mk-MK"/>
        </w:rPr>
      </w:pPr>
      <w:r>
        <w:rPr>
          <w:lang w:val="mk-MK"/>
        </w:rPr>
        <w:tab/>
        <w:t xml:space="preserve">Анализата на сите </w:t>
      </w:r>
      <w:r>
        <w:t>10</w:t>
      </w:r>
      <w:r w:rsidR="000D4597">
        <w:t>6</w:t>
      </w:r>
      <w:r>
        <w:t xml:space="preserve"> </w:t>
      </w:r>
      <w:r>
        <w:rPr>
          <w:lang w:val="mk-MK"/>
        </w:rPr>
        <w:t>котиран</w:t>
      </w:r>
      <w:r w:rsidR="000D4597">
        <w:rPr>
          <w:lang w:val="mk-MK"/>
        </w:rPr>
        <w:t>и</w:t>
      </w:r>
      <w:r>
        <w:rPr>
          <w:lang w:val="mk-MK"/>
        </w:rPr>
        <w:t xml:space="preserve"> компани</w:t>
      </w:r>
      <w:r w:rsidR="000D4597">
        <w:rPr>
          <w:lang w:val="mk-MK"/>
        </w:rPr>
        <w:t>и</w:t>
      </w:r>
      <w:r>
        <w:rPr>
          <w:lang w:val="mk-MK"/>
        </w:rPr>
        <w:t xml:space="preserve"> во поглед на нивниот однос кон сегашните и потенцијалните акционери, исто така, покажа дека овие релации не се негуваат на посакуваното ниво. Само кај </w:t>
      </w:r>
      <w:r w:rsidR="000D4597">
        <w:rPr>
          <w:lang w:val="mk-MK"/>
        </w:rPr>
        <w:t>7,5</w:t>
      </w:r>
      <w:r>
        <w:rPr>
          <w:lang w:val="mk-MK"/>
        </w:rPr>
        <w:t>% од компаниите на нивните веб-страници можат да се најдат податоци за нивните акции. Годишните извештаи често се формални и минимални по обем, а само 1</w:t>
      </w:r>
      <w:r w:rsidR="000D4597">
        <w:rPr>
          <w:lang w:val="mk-MK"/>
        </w:rPr>
        <w:t>5</w:t>
      </w:r>
      <w:r>
        <w:rPr>
          <w:lang w:val="mk-MK"/>
        </w:rPr>
        <w:t xml:space="preserve">% од компаниите преку нив се обраќаат на своите акционери. Конечно, целта на работењето во пазарните економии која се состои од „максимизација на вредноста на компанијата“, се среќава само кај две од анализираните компании. </w:t>
      </w:r>
    </w:p>
    <w:p w:rsidR="002F54FB" w:rsidRDefault="002F54FB" w:rsidP="001213AB">
      <w:pPr>
        <w:spacing w:line="276" w:lineRule="auto"/>
        <w:jc w:val="both"/>
        <w:rPr>
          <w:lang w:val="mk-MK"/>
        </w:rPr>
      </w:pPr>
      <w:r>
        <w:rPr>
          <w:lang w:val="mk-MK"/>
        </w:rPr>
        <w:tab/>
        <w:t>Како последица на овие состојби, кај компаниите се јавува отсуство на амбиција (но и можности) за посериозна експанзија можеби и надвор од границите на земјата. Недостасува мотивираност за преземање поголем ризик, но недостасува и чувство за релацијата ризик-принос. Системот е банкоцентричен, а пазарот на капитал не ја извршува својата функција  на ефикасен алокатор на ресурсите.</w:t>
      </w:r>
    </w:p>
    <w:p w:rsidR="002F54FB" w:rsidRPr="00EF1830" w:rsidRDefault="002F54FB" w:rsidP="001213AB">
      <w:pPr>
        <w:spacing w:line="276" w:lineRule="auto"/>
        <w:jc w:val="both"/>
        <w:rPr>
          <w:lang w:val="mk-MK"/>
        </w:rPr>
      </w:pPr>
      <w:r>
        <w:rPr>
          <w:lang w:val="mk-MK"/>
        </w:rPr>
        <w:tab/>
        <w:t xml:space="preserve">Можни мерки во правец на подобрување на состојбата би биле насочени кон поттикнување на преземање поголем ризик од страна на банките, на пример преку задолжително вложување на дел од своите фондови во т.н. „стартапи“. Понатаму, поттикнување на иновативните бизниси и иновации во постоечките компании преку државни или привлекување на странски фондови. Истовремено, компаниите (приватни и котирани) треба да ја согледаат </w:t>
      </w:r>
      <w:r>
        <w:rPr>
          <w:lang w:val="mk-MK"/>
        </w:rPr>
        <w:lastRenderedPageBreak/>
        <w:t>вистинската улога на берзите и акционерството и да се мотивираат да размислуваат на долги рокови.</w:t>
      </w:r>
      <w:r>
        <w:t xml:space="preserve"> </w:t>
      </w:r>
      <w:r>
        <w:rPr>
          <w:lang w:val="mk-MK"/>
        </w:rPr>
        <w:t>Мора да се инсистира на поставување долгорочни цели и донесување стратегиски планови. Добра можност нудат конвертибилните обврзници, како хибридна хартија од вредност, така што нивната примена треба да се промовира.</w:t>
      </w:r>
    </w:p>
    <w:p w:rsidR="000D4597" w:rsidRDefault="000D4597" w:rsidP="001213AB">
      <w:pPr>
        <w:pStyle w:val="NormalWeb"/>
        <w:spacing w:line="276" w:lineRule="auto"/>
        <w:ind w:firstLine="720"/>
        <w:jc w:val="both"/>
      </w:pPr>
      <w:r>
        <w:t>Клучни зборови: финансиски менаџмент, корпоративно управување, берза, структура на капиталот.</w:t>
      </w:r>
    </w:p>
    <w:p w:rsidR="000D4597" w:rsidRPr="007E2FEC" w:rsidRDefault="000D4597" w:rsidP="001213AB">
      <w:pPr>
        <w:spacing w:line="276" w:lineRule="auto"/>
      </w:pPr>
    </w:p>
    <w:p w:rsidR="007E2FEC" w:rsidRPr="007E2FEC" w:rsidRDefault="007E2FEC" w:rsidP="001213AB">
      <w:pPr>
        <w:spacing w:line="276" w:lineRule="auto"/>
      </w:pPr>
    </w:p>
    <w:p w:rsidR="007E2FEC" w:rsidRPr="00792A87" w:rsidRDefault="007E2FEC" w:rsidP="001213AB">
      <w:pPr>
        <w:spacing w:line="276" w:lineRule="auto"/>
        <w:rPr>
          <w:b/>
          <w:lang w:val="mk-MK"/>
        </w:rPr>
      </w:pPr>
      <w:r w:rsidRPr="00792A87">
        <w:rPr>
          <w:b/>
          <w:lang w:val="mk-MK"/>
        </w:rPr>
        <w:t>Вовед</w:t>
      </w:r>
    </w:p>
    <w:p w:rsidR="007E2FEC" w:rsidRDefault="007E2FEC" w:rsidP="001213AB">
      <w:pPr>
        <w:spacing w:line="276" w:lineRule="auto"/>
        <w:rPr>
          <w:lang w:val="mk-MK"/>
        </w:rPr>
      </w:pPr>
    </w:p>
    <w:p w:rsidR="007E2FEC" w:rsidRDefault="007E2FEC" w:rsidP="001213AB">
      <w:pPr>
        <w:spacing w:line="276" w:lineRule="auto"/>
        <w:jc w:val="both"/>
        <w:rPr>
          <w:lang w:val="mk-MK"/>
        </w:rPr>
      </w:pPr>
      <w:r>
        <w:rPr>
          <w:lang w:val="mk-MK"/>
        </w:rPr>
        <w:tab/>
        <w:t>На почетокот на транзицискиот период на македонската економија, една од претпост</w:t>
      </w:r>
      <w:r w:rsidR="000D4597">
        <w:rPr>
          <w:lang w:val="mk-MK"/>
        </w:rPr>
        <w:t>а</w:t>
      </w:r>
      <w:r>
        <w:rPr>
          <w:lang w:val="mk-MK"/>
        </w:rPr>
        <w:t>вките за нејзино поефикасно функционирање во иднината беше усвојувањето на принципите на работење на компаниите кои се веќе востановени и низ вековите се развиле кај компаниите од развиените пазарни економии. Очекувањето беше дека воспоставувањето на институциите иманентни на една пазарна економија</w:t>
      </w:r>
      <w:r w:rsidR="004A3757">
        <w:rPr>
          <w:lang w:val="mk-MK"/>
        </w:rPr>
        <w:t xml:space="preserve"> ќе биде доволно за да се моделира</w:t>
      </w:r>
      <w:r>
        <w:rPr>
          <w:lang w:val="mk-MK"/>
        </w:rPr>
        <w:t xml:space="preserve"> однесувањето на менаџерите </w:t>
      </w:r>
      <w:r w:rsidR="004A3757">
        <w:rPr>
          <w:lang w:val="mk-MK"/>
        </w:rPr>
        <w:t>по урнек н</w:t>
      </w:r>
      <w:r w:rsidR="000D4597">
        <w:rPr>
          <w:lang w:val="mk-MK"/>
        </w:rPr>
        <w:t xml:space="preserve">а оние </w:t>
      </w:r>
      <w:r>
        <w:rPr>
          <w:lang w:val="mk-MK"/>
        </w:rPr>
        <w:t xml:space="preserve">од развиените земји и дека </w:t>
      </w:r>
      <w:r w:rsidR="004A3757">
        <w:rPr>
          <w:lang w:val="mk-MK"/>
        </w:rPr>
        <w:t xml:space="preserve">конкурентската </w:t>
      </w:r>
      <w:r>
        <w:rPr>
          <w:lang w:val="mk-MK"/>
        </w:rPr>
        <w:t>борба</w:t>
      </w:r>
      <w:r w:rsidR="004A3757">
        <w:rPr>
          <w:lang w:val="mk-MK"/>
        </w:rPr>
        <w:t xml:space="preserve"> за поголем пазарен успех</w:t>
      </w:r>
      <w:r>
        <w:rPr>
          <w:lang w:val="mk-MK"/>
        </w:rPr>
        <w:t xml:space="preserve"> неминовно ќе води кон </w:t>
      </w:r>
      <w:r w:rsidR="004A3757">
        <w:rPr>
          <w:lang w:val="mk-MK"/>
        </w:rPr>
        <w:t>економски напредок на ниво на целата економија.</w:t>
      </w:r>
    </w:p>
    <w:p w:rsidR="004A3757" w:rsidRDefault="004A3757" w:rsidP="001213AB">
      <w:pPr>
        <w:spacing w:line="276" w:lineRule="auto"/>
        <w:jc w:val="both"/>
        <w:rPr>
          <w:lang w:val="mk-MK"/>
        </w:rPr>
      </w:pPr>
      <w:r>
        <w:rPr>
          <w:lang w:val="mk-MK"/>
        </w:rPr>
        <w:tab/>
        <w:t xml:space="preserve">По поминати речиси три децении, забележливо е извесно разочарување од фактот што стапките на економски растеж се далеку од нивоата потребни да се фати чекор не само со поразвиените земји, туку и со повеќето земји со кои заедно влеговме во процесите на транзиција. Не е спорно дека за тоа значајна улога одиграа и бројни политички, па дури и воени случувања во минатото, специфичното окружување на земјата, нејзината географска положба и атрактивност и други објективни околности. Сепак, со тоа не можеме целосно </w:t>
      </w:r>
      <w:r w:rsidR="00800E2C">
        <w:rPr>
          <w:lang w:val="mk-MK"/>
        </w:rPr>
        <w:t xml:space="preserve">од себе </w:t>
      </w:r>
      <w:r>
        <w:rPr>
          <w:lang w:val="mk-MK"/>
        </w:rPr>
        <w:t>да ја о</w:t>
      </w:r>
      <w:r w:rsidR="00800E2C">
        <w:rPr>
          <w:lang w:val="mk-MK"/>
        </w:rPr>
        <w:t>тфрлиме одговорноста и потребата да продолжиме со изградба на системот кој ќе делува стимулативно за развој на претприемништвото и експанзија на постоечките бизниси.</w:t>
      </w:r>
    </w:p>
    <w:p w:rsidR="00800E2C" w:rsidRDefault="00800E2C" w:rsidP="001213AB">
      <w:pPr>
        <w:spacing w:line="276" w:lineRule="auto"/>
        <w:jc w:val="both"/>
        <w:rPr>
          <w:lang w:val="mk-MK"/>
        </w:rPr>
      </w:pPr>
      <w:r>
        <w:rPr>
          <w:lang w:val="mk-MK"/>
        </w:rPr>
        <w:tab/>
        <w:t xml:space="preserve">Во таа насока, во овој труд најпрво ќе бидат направени неколку анализи. Со цел да го испитаме однесувањето на компаниите во поглед на управувањето со финансиите, прво ќе направиме анализа на структурата на капиталот на македонските котирани компании и ќе се обидеме да откриеме кои фактори најмногу влијаат врз изборот на изворите на финансирање кај нив. Потоа, ќе ја анализираме состојбата со нивната инвестициска активност, како и со дивидендната политика, како компоненти на финансискиот менаџмент. Со цел да ги дополниме потребните </w:t>
      </w:r>
      <w:r w:rsidR="001B7D21">
        <w:rPr>
          <w:lang w:val="mk-MK"/>
        </w:rPr>
        <w:t>елементи за донесување валидни заклучоци, ќе направиме и истражување на некои аспекти на нивното корпоративно управување. На примерок од 101 котирана компанија, ќе се обидеме имплицитно да ги извлечеме нивните ставови во поглед на релацијата акционери-компанија и низ призмата на таквите сознанија евентуално да ги разјасниме некои од дилемите што ќе се отворат со претходната анализа на финансиското управување.</w:t>
      </w:r>
    </w:p>
    <w:p w:rsidR="001B7D21" w:rsidRDefault="001B7D21" w:rsidP="001213AB">
      <w:pPr>
        <w:spacing w:line="276" w:lineRule="auto"/>
        <w:jc w:val="both"/>
      </w:pPr>
      <w:r>
        <w:rPr>
          <w:lang w:val="mk-MK"/>
        </w:rPr>
        <w:tab/>
      </w:r>
      <w:r w:rsidR="00C649D6">
        <w:rPr>
          <w:lang w:val="mk-MK"/>
        </w:rPr>
        <w:t>Анализите и нивните заклучоци ќе бидат основа за елаборација на импликациите од воочените состојби за развој на компаниите и на целата економија. Конечно, врз основа на нив, ќе се обидеме да предложиме некои можни мерки, како насоки за менување на востановените практики, во правец на остварување побрз економски растеж.</w:t>
      </w:r>
    </w:p>
    <w:p w:rsidR="00584364" w:rsidRDefault="00584364" w:rsidP="001213AB">
      <w:pPr>
        <w:spacing w:line="276" w:lineRule="auto"/>
        <w:jc w:val="both"/>
        <w:rPr>
          <w:lang w:val="mk-MK"/>
        </w:rPr>
      </w:pPr>
      <w:r>
        <w:lastRenderedPageBreak/>
        <w:tab/>
      </w:r>
      <w:r>
        <w:rPr>
          <w:lang w:val="mk-MK"/>
        </w:rPr>
        <w:t>Трудот е</w:t>
      </w:r>
      <w:r w:rsidR="00427796">
        <w:rPr>
          <w:lang w:val="mk-MK"/>
        </w:rPr>
        <w:t xml:space="preserve"> структуриран на следниов начин. Во вториот дел е даден преглед на релевантната литература, со посебен осврт на трудовите кои ја третираат анализираната проблематика во земјите од источна Европа. Во третиот дел е содржано самото истражување, методологијата и добиените резултати. </w:t>
      </w:r>
      <w:r w:rsidR="000A0C55">
        <w:rPr>
          <w:lang w:val="mk-MK"/>
        </w:rPr>
        <w:t xml:space="preserve">Трудот завршува со констатации на импликациите на воочените </w:t>
      </w:r>
      <w:r w:rsidR="000A0C55" w:rsidRPr="000A0C55">
        <w:rPr>
          <w:lang w:val="mk-MK"/>
        </w:rPr>
        <w:t>состојби и предлагање на</w:t>
      </w:r>
      <w:r w:rsidR="00427796" w:rsidRPr="000A0C55">
        <w:rPr>
          <w:lang w:val="mk-MK"/>
        </w:rPr>
        <w:t xml:space="preserve"> можни мерки за надминување на </w:t>
      </w:r>
      <w:r w:rsidR="000A0C55" w:rsidRPr="000A0C55">
        <w:rPr>
          <w:lang w:val="mk-MK"/>
        </w:rPr>
        <w:t>овие слабости.</w:t>
      </w:r>
      <w:r w:rsidR="00427796">
        <w:rPr>
          <w:lang w:val="mk-MK"/>
        </w:rPr>
        <w:t xml:space="preserve"> </w:t>
      </w:r>
    </w:p>
    <w:p w:rsidR="00584364" w:rsidRDefault="00584364" w:rsidP="001213AB">
      <w:pPr>
        <w:spacing w:line="276" w:lineRule="auto"/>
        <w:jc w:val="both"/>
        <w:rPr>
          <w:lang w:val="mk-MK"/>
        </w:rPr>
      </w:pPr>
    </w:p>
    <w:p w:rsidR="00584364" w:rsidRDefault="00584364" w:rsidP="001213AB">
      <w:pPr>
        <w:spacing w:line="276" w:lineRule="auto"/>
        <w:jc w:val="both"/>
        <w:rPr>
          <w:lang w:val="mk-MK"/>
        </w:rPr>
      </w:pPr>
    </w:p>
    <w:p w:rsidR="00584364" w:rsidRDefault="00584364" w:rsidP="001213AB">
      <w:pPr>
        <w:spacing w:line="276" w:lineRule="auto"/>
        <w:jc w:val="both"/>
        <w:rPr>
          <w:b/>
          <w:lang w:val="mk-MK"/>
        </w:rPr>
      </w:pPr>
      <w:r w:rsidRPr="00584364">
        <w:rPr>
          <w:b/>
          <w:lang w:val="mk-MK"/>
        </w:rPr>
        <w:t>Преглед на релевантната литература</w:t>
      </w:r>
    </w:p>
    <w:p w:rsidR="00584364" w:rsidRDefault="00584364" w:rsidP="001213AB">
      <w:pPr>
        <w:spacing w:line="276" w:lineRule="auto"/>
        <w:jc w:val="both"/>
        <w:rPr>
          <w:b/>
          <w:lang w:val="mk-MK"/>
        </w:rPr>
      </w:pPr>
    </w:p>
    <w:p w:rsidR="003A1DAE" w:rsidRDefault="003A1DAE" w:rsidP="001213AB">
      <w:pPr>
        <w:autoSpaceDE w:val="0"/>
        <w:autoSpaceDN w:val="0"/>
        <w:adjustRightInd w:val="0"/>
        <w:spacing w:line="276" w:lineRule="auto"/>
        <w:jc w:val="both"/>
        <w:rPr>
          <w:szCs w:val="24"/>
        </w:rPr>
      </w:pPr>
      <w:r>
        <w:rPr>
          <w:b/>
        </w:rPr>
        <w:tab/>
      </w:r>
      <w:r w:rsidRPr="003A1DAE">
        <w:rPr>
          <w:lang w:val="mk-MK"/>
        </w:rPr>
        <w:t xml:space="preserve">Во </w:t>
      </w:r>
      <w:r>
        <w:rPr>
          <w:lang w:val="mk-MK"/>
        </w:rPr>
        <w:t xml:space="preserve">последниве две децении, </w:t>
      </w:r>
      <w:r w:rsidRPr="000A0C55">
        <w:rPr>
          <w:lang w:val="mk-MK"/>
        </w:rPr>
        <w:t>с</w:t>
      </w:r>
      <w:r w:rsidR="000A0C55" w:rsidRPr="000A0C55">
        <w:rPr>
          <w:szCs w:val="24"/>
        </w:rPr>
        <w:t>è</w:t>
      </w:r>
      <w:r>
        <w:rPr>
          <w:lang w:val="mk-MK"/>
        </w:rPr>
        <w:t xml:space="preserve"> повеќе станува јасно дека принципите на корпоративните финансии, востановени низ теоријата и праксата на развиените западни земји, не можат директно да се пренесуваат и да се препознаат во праксата на пост-транзициските економии. Тоа веќе најде свој одраз и во научните истражувања од оваа област </w:t>
      </w:r>
      <w:r w:rsidRPr="00DD0F22">
        <w:t>(</w:t>
      </w:r>
      <w:r w:rsidRPr="00DD0F22">
        <w:rPr>
          <w:szCs w:val="24"/>
        </w:rPr>
        <w:t>Mramor and Valentin</w:t>
      </w:r>
      <w:r w:rsidRPr="00DD0F22">
        <w:rPr>
          <w:szCs w:val="24"/>
          <w:lang w:eastAsia="en-GB"/>
        </w:rPr>
        <w:t>č</w:t>
      </w:r>
      <w:r w:rsidRPr="00DD0F22">
        <w:rPr>
          <w:szCs w:val="24"/>
        </w:rPr>
        <w:t>i</w:t>
      </w:r>
      <w:r w:rsidRPr="00DD0F22">
        <w:rPr>
          <w:szCs w:val="24"/>
          <w:lang w:eastAsia="en-GB"/>
        </w:rPr>
        <w:t>č</w:t>
      </w:r>
      <w:r w:rsidRPr="00DD0F22">
        <w:rPr>
          <w:szCs w:val="24"/>
        </w:rPr>
        <w:t>,</w:t>
      </w:r>
      <w:r w:rsidRPr="005D066F">
        <w:rPr>
          <w:szCs w:val="24"/>
        </w:rPr>
        <w:t xml:space="preserve"> 2001; </w:t>
      </w:r>
      <w:r>
        <w:t xml:space="preserve">Peev, 2001; </w:t>
      </w:r>
      <w:r w:rsidRPr="005D066F">
        <w:t>Filatotchev et al., 2003;</w:t>
      </w:r>
      <w:r w:rsidRPr="005D066F">
        <w:rPr>
          <w:szCs w:val="24"/>
        </w:rPr>
        <w:t xml:space="preserve"> </w:t>
      </w:r>
      <w:r>
        <w:t xml:space="preserve">Yeoh, 2007; </w:t>
      </w:r>
      <w:r w:rsidRPr="005D066F">
        <w:rPr>
          <w:szCs w:val="24"/>
        </w:rPr>
        <w:t xml:space="preserve">Bena and Hanousek, 2008; </w:t>
      </w:r>
      <w:r>
        <w:t>Cvijanovi</w:t>
      </w:r>
      <w:r w:rsidR="00D958FC" w:rsidRPr="003A1DAE">
        <w:rPr>
          <w:szCs w:val="24"/>
        </w:rPr>
        <w:t>ć</w:t>
      </w:r>
      <w:r>
        <w:t xml:space="preserve"> and </w:t>
      </w:r>
      <w:r w:rsidRPr="003A1DAE">
        <w:t>Red</w:t>
      </w:r>
      <w:r w:rsidRPr="003A1DAE">
        <w:rPr>
          <w:szCs w:val="24"/>
        </w:rPr>
        <w:t>ž</w:t>
      </w:r>
      <w:r w:rsidRPr="003A1DAE">
        <w:t>epagi</w:t>
      </w:r>
      <w:r w:rsidRPr="003A1DAE">
        <w:rPr>
          <w:szCs w:val="24"/>
        </w:rPr>
        <w:t>ć, 2011).</w:t>
      </w:r>
    </w:p>
    <w:p w:rsidR="00F06282" w:rsidRPr="00E446B5" w:rsidRDefault="00F06282" w:rsidP="001213AB">
      <w:pPr>
        <w:autoSpaceDE w:val="0"/>
        <w:autoSpaceDN w:val="0"/>
        <w:adjustRightInd w:val="0"/>
        <w:spacing w:line="276" w:lineRule="auto"/>
        <w:jc w:val="both"/>
        <w:rPr>
          <w:szCs w:val="24"/>
          <w:lang w:val="mk-MK"/>
        </w:rPr>
      </w:pPr>
      <w:r>
        <w:rPr>
          <w:szCs w:val="24"/>
        </w:rPr>
        <w:tab/>
      </w:r>
      <w:r>
        <w:rPr>
          <w:szCs w:val="24"/>
          <w:lang w:val="mk-MK"/>
        </w:rPr>
        <w:t xml:space="preserve">Основите на теоријата за структурата на капиталот ги поставуваат Модиљани и Милер во 1958 година. По нив, се развива една цела област во финансискиот менаџмент, која првично содржи обиди теоретски да се утврди т.н. оптимална структура на капиталот, за подоцна таа да премине кон идентификување на клучните детерминанти кои ги водат компаниите кон нејзиното формирање </w:t>
      </w:r>
      <w:r>
        <w:t xml:space="preserve">Myers (1984) </w:t>
      </w:r>
      <w:r>
        <w:rPr>
          <w:lang w:val="mk-MK"/>
        </w:rPr>
        <w:t>и</w:t>
      </w:r>
      <w:r>
        <w:t xml:space="preserve"> </w:t>
      </w:r>
      <w:r w:rsidRPr="003377DF">
        <w:t xml:space="preserve">Myers </w:t>
      </w:r>
      <w:r>
        <w:rPr>
          <w:lang w:val="mk-MK"/>
        </w:rPr>
        <w:t>и</w:t>
      </w:r>
      <w:r w:rsidRPr="003377DF">
        <w:t xml:space="preserve"> Ma</w:t>
      </w:r>
      <w:r>
        <w:t>jluf (1984)</w:t>
      </w:r>
      <w:r>
        <w:rPr>
          <w:lang w:val="mk-MK"/>
        </w:rPr>
        <w:t xml:space="preserve">. Во земјите во развој и економиите во транзиција ова прашање е истражувано во поново време </w:t>
      </w:r>
      <w:r w:rsidRPr="006610DD">
        <w:t xml:space="preserve">(Gonenc, 2003; Bauer, 2004; Teker </w:t>
      </w:r>
      <w:r>
        <w:rPr>
          <w:lang w:val="mk-MK"/>
        </w:rPr>
        <w:t>и др</w:t>
      </w:r>
      <w:r>
        <w:t>., 2009</w:t>
      </w:r>
      <w:r w:rsidRPr="006610DD">
        <w:t>).</w:t>
      </w:r>
      <w:r w:rsidRPr="00F06282">
        <w:t xml:space="preserve"> </w:t>
      </w:r>
      <w:r>
        <w:rPr>
          <w:lang w:val="mk-MK"/>
        </w:rPr>
        <w:t>Неколку истражувања постојат и за балканските земји (</w:t>
      </w:r>
      <w:r w:rsidRPr="006610DD">
        <w:t xml:space="preserve">Berk, 2007; </w:t>
      </w:r>
      <w:r w:rsidRPr="006610DD">
        <w:rPr>
          <w:rFonts w:ascii="Times New Roman CYR" w:hAnsi="Times New Roman CYR" w:cs="Times New Roman CYR"/>
          <w:szCs w:val="24"/>
          <w:lang w:eastAsia="en-GB"/>
        </w:rPr>
        <w:t>Č</w:t>
      </w:r>
      <w:r w:rsidRPr="006610DD">
        <w:t xml:space="preserve">rnigoj </w:t>
      </w:r>
      <w:r>
        <w:rPr>
          <w:lang w:val="mk-MK"/>
        </w:rPr>
        <w:t>и</w:t>
      </w:r>
      <w:r w:rsidRPr="006610DD">
        <w:t xml:space="preserve"> Mramor, 2009</w:t>
      </w:r>
      <w:r>
        <w:rPr>
          <w:lang w:val="mk-MK"/>
        </w:rPr>
        <w:t xml:space="preserve">; </w:t>
      </w:r>
      <w:r>
        <w:t xml:space="preserve">Arsov </w:t>
      </w:r>
      <w:r>
        <w:rPr>
          <w:lang w:val="mk-MK"/>
        </w:rPr>
        <w:t>и</w:t>
      </w:r>
      <w:r>
        <w:t xml:space="preserve"> Naumoski</w:t>
      </w:r>
      <w:r>
        <w:rPr>
          <w:lang w:val="mk-MK"/>
        </w:rPr>
        <w:t xml:space="preserve">, </w:t>
      </w:r>
      <w:r w:rsidRPr="000A0C55">
        <w:rPr>
          <w:lang w:val="mk-MK"/>
        </w:rPr>
        <w:t>2016</w:t>
      </w:r>
      <w:r>
        <w:rPr>
          <w:lang w:val="mk-MK"/>
        </w:rPr>
        <w:t>)</w:t>
      </w:r>
      <w:r w:rsidR="00E446B5">
        <w:t xml:space="preserve">, </w:t>
      </w:r>
      <w:r w:rsidR="00E446B5">
        <w:rPr>
          <w:lang w:val="mk-MK"/>
        </w:rPr>
        <w:t>кои покажуваат слични тенденции кај сите нив и доминација на теоријата за редослед (хиерархија) во финансирањето.</w:t>
      </w:r>
    </w:p>
    <w:p w:rsidR="00584364" w:rsidRPr="006304EE" w:rsidRDefault="005A7F5C" w:rsidP="001213AB">
      <w:pPr>
        <w:spacing w:line="276" w:lineRule="auto"/>
        <w:jc w:val="both"/>
        <w:rPr>
          <w:szCs w:val="24"/>
          <w:lang w:val="mk-MK"/>
        </w:rPr>
      </w:pPr>
      <w:r>
        <w:tab/>
      </w:r>
      <w:r w:rsidR="00AA43BF">
        <w:rPr>
          <w:lang w:val="mk-MK"/>
        </w:rPr>
        <w:t xml:space="preserve">Дивидендната политика е едно од најновите подрачја кои систематски се истражуваат во рамките на финансискиот менаџмент. Основите на ова теоретско истражување го поставуваат повторно Модиљани и Милер (1961), според кои, дивидендната политика е ирелевантна за вредноста на компанијата. По низа нови придонеси (теоријата за „врапче во рака“ и теоријата за даночни преференции), економската наука застанува на ставот за потребата од водење на стабилна дивидендна политика, односно се заклучува дека компаниите не прават изненадувачки потези, ниту  во нагорен, ниту во надолен правец, освен во </w:t>
      </w:r>
      <w:r w:rsidR="00AA43BF" w:rsidRPr="00AA43BF">
        <w:rPr>
          <w:szCs w:val="24"/>
          <w:lang w:val="mk-MK"/>
        </w:rPr>
        <w:t>екстремни ситуации, со што успеваат да одржат стабилност и пораст на вредноста на нивните акции (</w:t>
      </w:r>
      <w:r w:rsidR="00AA43BF" w:rsidRPr="00AA43BF">
        <w:rPr>
          <w:rFonts w:cs="GEBBJH+TimesNewRoman"/>
          <w:color w:val="000000"/>
          <w:szCs w:val="24"/>
        </w:rPr>
        <w:t xml:space="preserve">Roy </w:t>
      </w:r>
      <w:r w:rsidR="00AA43BF">
        <w:rPr>
          <w:rFonts w:cs="GEBBJH+TimesNewRoman"/>
          <w:color w:val="000000"/>
          <w:szCs w:val="24"/>
          <w:lang w:val="mk-MK"/>
        </w:rPr>
        <w:t>и</w:t>
      </w:r>
      <w:r w:rsidR="00AA43BF" w:rsidRPr="00AA43BF">
        <w:rPr>
          <w:rFonts w:cs="GEBBJH+TimesNewRoman"/>
          <w:color w:val="000000"/>
          <w:szCs w:val="24"/>
        </w:rPr>
        <w:t xml:space="preserve"> Cheung,</w:t>
      </w:r>
      <w:r w:rsidR="00AA43BF">
        <w:rPr>
          <w:rFonts w:cs="GEBBJH+TimesNewRoman"/>
          <w:color w:val="000000"/>
          <w:szCs w:val="24"/>
          <w:lang w:val="mk-MK"/>
        </w:rPr>
        <w:t xml:space="preserve"> </w:t>
      </w:r>
      <w:r w:rsidR="00AA43BF" w:rsidRPr="00AA43BF">
        <w:rPr>
          <w:rFonts w:cs="GEBBJH+TimesNewRoman"/>
          <w:color w:val="000000"/>
          <w:szCs w:val="24"/>
        </w:rPr>
        <w:t xml:space="preserve">1985; Kato </w:t>
      </w:r>
      <w:r w:rsidR="00AA43BF">
        <w:rPr>
          <w:rFonts w:cs="GEBBJH+TimesNewRoman"/>
          <w:color w:val="000000"/>
          <w:szCs w:val="24"/>
          <w:lang w:val="mk-MK"/>
        </w:rPr>
        <w:t>и</w:t>
      </w:r>
      <w:r w:rsidR="00AA43BF" w:rsidRPr="00AA43BF">
        <w:rPr>
          <w:rFonts w:cs="GEBBJH+TimesNewRoman"/>
          <w:color w:val="000000"/>
          <w:szCs w:val="24"/>
        </w:rPr>
        <w:t xml:space="preserve"> Lowentein, 1995; Lasfer, 1996; Dewenter </w:t>
      </w:r>
      <w:r w:rsidR="00AA43BF">
        <w:rPr>
          <w:rFonts w:cs="GEBBJH+TimesNewRoman"/>
          <w:color w:val="000000"/>
          <w:szCs w:val="24"/>
          <w:lang w:val="mk-MK"/>
        </w:rPr>
        <w:t>и</w:t>
      </w:r>
      <w:r w:rsidR="00AA43BF" w:rsidRPr="00AA43BF">
        <w:rPr>
          <w:rFonts w:cs="GEBBJH+TimesNewRoman"/>
          <w:color w:val="000000"/>
          <w:szCs w:val="24"/>
        </w:rPr>
        <w:t xml:space="preserve"> Warther, 1998; Aivazian </w:t>
      </w:r>
      <w:r w:rsidR="00AA43BF">
        <w:rPr>
          <w:rFonts w:cs="GEBBJH+TimesNewRoman"/>
          <w:color w:val="000000"/>
          <w:szCs w:val="24"/>
          <w:lang w:val="mk-MK"/>
        </w:rPr>
        <w:t>и др.</w:t>
      </w:r>
      <w:r w:rsidR="00AA43BF" w:rsidRPr="00AA43BF">
        <w:rPr>
          <w:rFonts w:cs="GEBBJH+TimesNewRoman"/>
          <w:color w:val="000000"/>
          <w:szCs w:val="24"/>
        </w:rPr>
        <w:t>, 2001</w:t>
      </w:r>
      <w:r w:rsidR="00AA43BF">
        <w:rPr>
          <w:rFonts w:cs="GEBBJH+TimesNewRoman"/>
          <w:color w:val="000000"/>
          <w:szCs w:val="24"/>
          <w:lang w:val="mk-MK"/>
        </w:rPr>
        <w:t xml:space="preserve">). Сепак, најголем дел од овие заклучоци се базираат на истражувања реализирани во развиените економии, но малиот број истражувања на пазарите на земјите во развој покажуваат дека кај нив стабилноста не е редовна </w:t>
      </w:r>
      <w:r w:rsidR="00AA43BF" w:rsidRPr="006304EE">
        <w:rPr>
          <w:rFonts w:cs="GEBBJH+TimesNewRoman"/>
          <w:color w:val="000000"/>
          <w:szCs w:val="24"/>
          <w:lang w:val="mk-MK"/>
        </w:rPr>
        <w:t xml:space="preserve">појава </w:t>
      </w:r>
      <w:r w:rsidR="006304EE" w:rsidRPr="006304EE">
        <w:rPr>
          <w:rFonts w:cs="GEBBJH+TimesNewRoman"/>
          <w:color w:val="000000"/>
          <w:szCs w:val="24"/>
          <w:lang w:val="mk-MK"/>
        </w:rPr>
        <w:t>(</w:t>
      </w:r>
      <w:r w:rsidR="00AA43BF" w:rsidRPr="00427796">
        <w:rPr>
          <w:rFonts w:cs="GEBBJH+TimesNewRoman"/>
          <w:color w:val="000000"/>
          <w:szCs w:val="24"/>
        </w:rPr>
        <w:t>Adaoglu</w:t>
      </w:r>
      <w:r w:rsidR="00AA43BF" w:rsidRPr="006304EE">
        <w:rPr>
          <w:rFonts w:cs="GEBBJH+TimesNewRoman"/>
          <w:color w:val="000000"/>
          <w:szCs w:val="24"/>
          <w:lang w:val="mk-MK"/>
        </w:rPr>
        <w:t xml:space="preserve">, </w:t>
      </w:r>
      <w:r w:rsidR="00AA43BF" w:rsidRPr="006304EE">
        <w:rPr>
          <w:rFonts w:cs="GEBBJH+TimesNewRoman"/>
          <w:color w:val="000000"/>
          <w:szCs w:val="24"/>
        </w:rPr>
        <w:t>2000</w:t>
      </w:r>
      <w:r w:rsidR="00AA43BF" w:rsidRPr="006304EE">
        <w:rPr>
          <w:rFonts w:cs="GEBBJH+TimesNewRoman"/>
          <w:color w:val="000000"/>
          <w:szCs w:val="24"/>
          <w:lang w:val="mk-MK"/>
        </w:rPr>
        <w:t xml:space="preserve">; </w:t>
      </w:r>
      <w:r w:rsidR="00AA43BF" w:rsidRPr="006304EE">
        <w:rPr>
          <w:rFonts w:cs="GEBBJH+TimesNewRoman"/>
          <w:color w:val="000000"/>
          <w:szCs w:val="24"/>
        </w:rPr>
        <w:t xml:space="preserve">Aivazian </w:t>
      </w:r>
      <w:r w:rsidR="006304EE" w:rsidRPr="006304EE">
        <w:rPr>
          <w:rFonts w:cs="GEBBJH+TimesNewRoman"/>
          <w:color w:val="000000"/>
          <w:szCs w:val="24"/>
          <w:lang w:val="mk-MK"/>
        </w:rPr>
        <w:t xml:space="preserve">и др., </w:t>
      </w:r>
      <w:r w:rsidR="00AA43BF" w:rsidRPr="006304EE">
        <w:rPr>
          <w:rFonts w:cs="GEBBJH+TimesNewRoman"/>
          <w:color w:val="000000"/>
          <w:szCs w:val="24"/>
        </w:rPr>
        <w:t>2001</w:t>
      </w:r>
      <w:r w:rsidR="006304EE" w:rsidRPr="006304EE">
        <w:rPr>
          <w:rFonts w:cs="GEBBJH+TimesNewRoman"/>
          <w:color w:val="000000"/>
          <w:szCs w:val="24"/>
          <w:lang w:val="mk-MK"/>
        </w:rPr>
        <w:t xml:space="preserve">; </w:t>
      </w:r>
      <w:r w:rsidR="003B2DE4">
        <w:rPr>
          <w:rFonts w:cs="GEBBJH+TimesNewRoman"/>
          <w:color w:val="000000"/>
          <w:szCs w:val="24"/>
        </w:rPr>
        <w:t>Omet</w:t>
      </w:r>
      <w:r w:rsidR="006304EE" w:rsidRPr="006304EE">
        <w:rPr>
          <w:rFonts w:cs="GEBBJH+TimesNewRoman"/>
          <w:color w:val="000000"/>
          <w:szCs w:val="24"/>
          <w:lang w:val="mk-MK"/>
        </w:rPr>
        <w:t>,</w:t>
      </w:r>
      <w:r w:rsidR="00AA43BF" w:rsidRPr="006304EE">
        <w:rPr>
          <w:rFonts w:cs="GEBBJH+TimesNewRoman"/>
          <w:color w:val="000000"/>
          <w:szCs w:val="24"/>
          <w:lang w:val="mk-MK"/>
        </w:rPr>
        <w:t xml:space="preserve"> 2004</w:t>
      </w:r>
      <w:r w:rsidR="00792A87">
        <w:rPr>
          <w:rFonts w:cs="GEBBJH+TimesNewRoman"/>
          <w:color w:val="000000"/>
          <w:szCs w:val="24"/>
        </w:rPr>
        <w:t>; Kowalewski, 2012</w:t>
      </w:r>
      <w:r w:rsidR="006304EE" w:rsidRPr="006304EE">
        <w:rPr>
          <w:rFonts w:cs="GEBBJH+TimesNewRoman"/>
          <w:color w:val="000000"/>
          <w:szCs w:val="24"/>
          <w:lang w:val="mk-MK"/>
        </w:rPr>
        <w:t>).</w:t>
      </w:r>
    </w:p>
    <w:p w:rsidR="00312372" w:rsidRDefault="005A7F5C" w:rsidP="001213AB">
      <w:pPr>
        <w:spacing w:line="276" w:lineRule="auto"/>
        <w:jc w:val="both"/>
        <w:rPr>
          <w:lang w:val="mk-MK"/>
        </w:rPr>
      </w:pPr>
      <w:r>
        <w:rPr>
          <w:lang w:val="mk-MK"/>
        </w:rPr>
        <w:tab/>
        <w:t xml:space="preserve">Литературата за корпоративното управување е многу обемна и разновидна. </w:t>
      </w:r>
      <w:r w:rsidR="00312372">
        <w:rPr>
          <w:lang w:val="mk-MK"/>
        </w:rPr>
        <w:t>За нас особено се значајни делата во кои се потенцира дека законите што го регулираат управувањето со акционерските друштва и праксата на самото управување се разликуваат од земја до земја (</w:t>
      </w:r>
      <w:r w:rsidR="00AA43BF">
        <w:rPr>
          <w:szCs w:val="24"/>
        </w:rPr>
        <w:t xml:space="preserve">La Porta </w:t>
      </w:r>
      <w:r w:rsidR="00AA43BF">
        <w:rPr>
          <w:szCs w:val="24"/>
          <w:lang w:val="mk-MK"/>
        </w:rPr>
        <w:t>и др.</w:t>
      </w:r>
      <w:r w:rsidR="00312372">
        <w:rPr>
          <w:szCs w:val="24"/>
        </w:rPr>
        <w:t>, 1998).</w:t>
      </w:r>
      <w:r w:rsidR="00312372">
        <w:rPr>
          <w:szCs w:val="24"/>
          <w:lang w:val="mk-MK"/>
        </w:rPr>
        <w:t xml:space="preserve"> </w:t>
      </w:r>
      <w:r w:rsidR="00B22D4A">
        <w:rPr>
          <w:szCs w:val="24"/>
          <w:lang w:val="mk-MK"/>
        </w:rPr>
        <w:t xml:space="preserve">Во последниве две децении се зголеми и </w:t>
      </w:r>
      <w:r w:rsidR="00B22D4A" w:rsidRPr="00B22D4A">
        <w:rPr>
          <w:szCs w:val="24"/>
          <w:lang w:val="mk-MK"/>
        </w:rPr>
        <w:t>бројот на истражувањата насочени кон карактеристиките на корпоративното управување во земјите што поминаа низ процес</w:t>
      </w:r>
      <w:r w:rsidR="0010032E">
        <w:rPr>
          <w:szCs w:val="24"/>
          <w:lang w:val="mk-MK"/>
        </w:rPr>
        <w:t>ите</w:t>
      </w:r>
      <w:r w:rsidR="00B22D4A" w:rsidRPr="00B22D4A">
        <w:rPr>
          <w:szCs w:val="24"/>
          <w:lang w:val="mk-MK"/>
        </w:rPr>
        <w:t xml:space="preserve"> на приватизација и транзиција </w:t>
      </w:r>
      <w:r w:rsidR="00B22D4A">
        <w:rPr>
          <w:szCs w:val="24"/>
          <w:lang w:val="mk-MK"/>
        </w:rPr>
        <w:t>(</w:t>
      </w:r>
      <w:r w:rsidR="00B22D4A" w:rsidRPr="00B22D4A">
        <w:rPr>
          <w:szCs w:val="24"/>
        </w:rPr>
        <w:t xml:space="preserve">Djankov </w:t>
      </w:r>
      <w:r w:rsidR="00B22D4A" w:rsidRPr="00B22D4A">
        <w:rPr>
          <w:szCs w:val="24"/>
          <w:lang w:val="mk-MK"/>
        </w:rPr>
        <w:t>и</w:t>
      </w:r>
      <w:r w:rsidR="00B22D4A" w:rsidRPr="00B22D4A">
        <w:rPr>
          <w:szCs w:val="24"/>
        </w:rPr>
        <w:t xml:space="preserve"> Murrell</w:t>
      </w:r>
      <w:r w:rsidR="00B22D4A" w:rsidRPr="00B22D4A">
        <w:rPr>
          <w:szCs w:val="24"/>
          <w:lang w:val="mk-MK"/>
        </w:rPr>
        <w:t xml:space="preserve">, </w:t>
      </w:r>
      <w:r w:rsidR="00B22D4A" w:rsidRPr="00B22D4A">
        <w:rPr>
          <w:szCs w:val="24"/>
        </w:rPr>
        <w:t>2002</w:t>
      </w:r>
      <w:r w:rsidR="00B22D4A" w:rsidRPr="00B22D4A">
        <w:rPr>
          <w:szCs w:val="24"/>
          <w:lang w:val="mk-MK"/>
        </w:rPr>
        <w:t xml:space="preserve">; </w:t>
      </w:r>
      <w:r w:rsidR="00B22D4A" w:rsidRPr="00B22D4A">
        <w:rPr>
          <w:szCs w:val="24"/>
        </w:rPr>
        <w:t xml:space="preserve">Filatotchev </w:t>
      </w:r>
      <w:r w:rsidR="00B22D4A" w:rsidRPr="00B22D4A">
        <w:rPr>
          <w:szCs w:val="24"/>
          <w:lang w:val="mk-MK"/>
        </w:rPr>
        <w:t xml:space="preserve">и др. </w:t>
      </w:r>
      <w:r w:rsidR="00B22D4A" w:rsidRPr="00B22D4A">
        <w:rPr>
          <w:szCs w:val="24"/>
        </w:rPr>
        <w:t>2003</w:t>
      </w:r>
      <w:r w:rsidR="00B22D4A" w:rsidRPr="00B22D4A">
        <w:rPr>
          <w:szCs w:val="24"/>
          <w:lang w:val="mk-MK"/>
        </w:rPr>
        <w:t xml:space="preserve">; </w:t>
      </w:r>
      <w:r w:rsidR="00B22D4A" w:rsidRPr="00B22D4A">
        <w:rPr>
          <w:szCs w:val="24"/>
        </w:rPr>
        <w:t xml:space="preserve">Korent, Đunđek </w:t>
      </w:r>
      <w:r w:rsidR="00B22D4A" w:rsidRPr="00B22D4A">
        <w:rPr>
          <w:szCs w:val="24"/>
          <w:lang w:val="mk-MK"/>
        </w:rPr>
        <w:t>и</w:t>
      </w:r>
      <w:r w:rsidR="00B22D4A" w:rsidRPr="00B22D4A">
        <w:rPr>
          <w:i/>
          <w:szCs w:val="24"/>
        </w:rPr>
        <w:t xml:space="preserve"> </w:t>
      </w:r>
      <w:r w:rsidR="00B22D4A" w:rsidRPr="00B22D4A">
        <w:rPr>
          <w:szCs w:val="24"/>
        </w:rPr>
        <w:t>Čalopa</w:t>
      </w:r>
      <w:r w:rsidR="00B22D4A" w:rsidRPr="00B22D4A">
        <w:rPr>
          <w:szCs w:val="24"/>
          <w:lang w:val="mk-MK"/>
        </w:rPr>
        <w:t xml:space="preserve">, </w:t>
      </w:r>
      <w:r w:rsidR="00B22D4A" w:rsidRPr="00B22D4A">
        <w:rPr>
          <w:szCs w:val="24"/>
        </w:rPr>
        <w:t>2014</w:t>
      </w:r>
      <w:r w:rsidR="00B22D4A">
        <w:rPr>
          <w:szCs w:val="24"/>
          <w:lang w:val="mk-MK"/>
        </w:rPr>
        <w:t xml:space="preserve"> и др.</w:t>
      </w:r>
      <w:r w:rsidR="00B22D4A" w:rsidRPr="00B22D4A">
        <w:rPr>
          <w:szCs w:val="24"/>
        </w:rPr>
        <w:t>)</w:t>
      </w:r>
      <w:r w:rsidR="00B22D4A">
        <w:rPr>
          <w:szCs w:val="24"/>
          <w:lang w:val="mk-MK"/>
        </w:rPr>
        <w:t xml:space="preserve">. </w:t>
      </w:r>
      <w:r w:rsidR="0010032E">
        <w:rPr>
          <w:szCs w:val="24"/>
          <w:lang w:val="mk-MK"/>
        </w:rPr>
        <w:t xml:space="preserve">Во тие рамки се појавува и дилемата во поглед на конечната цел на </w:t>
      </w:r>
      <w:r w:rsidR="0010032E">
        <w:rPr>
          <w:szCs w:val="24"/>
          <w:lang w:val="mk-MK"/>
        </w:rPr>
        <w:lastRenderedPageBreak/>
        <w:t xml:space="preserve">компанијата која според едни треба да се поврзе со нејзините сопственици, а според други, со сите засегнати страни (стејкхолдери). Во праксата, а и во поголем дел од теоријата и во речиси целата релевантна учебничка литература доминира максимизацијата на вредноста на компанијата, односно богатството на акционерите како конечна цел на работењето. Според </w:t>
      </w:r>
      <w:r w:rsidR="0010032E" w:rsidRPr="00DC6BDD">
        <w:t xml:space="preserve"> (H</w:t>
      </w:r>
      <w:r w:rsidR="0010032E" w:rsidRPr="00DC6BDD">
        <w:rPr>
          <w:rFonts w:eastAsia="Times New Roman"/>
          <w:bCs/>
          <w:kern w:val="36"/>
          <w:szCs w:val="24"/>
        </w:rPr>
        <w:t>ö</w:t>
      </w:r>
      <w:r w:rsidR="0010032E" w:rsidRPr="00DC6BDD">
        <w:t>pner, 2001),</w:t>
      </w:r>
      <w:r w:rsidR="0010032E">
        <w:rPr>
          <w:lang w:val="mk-MK"/>
        </w:rPr>
        <w:t xml:space="preserve"> таа отвора можности за мотивирање на менаџерите преку наградување со опции, а според </w:t>
      </w:r>
      <w:r w:rsidR="0010032E" w:rsidRPr="00DC6BDD">
        <w:t xml:space="preserve">Brickley </w:t>
      </w:r>
      <w:r w:rsidR="0010032E">
        <w:rPr>
          <w:lang w:val="mk-MK"/>
        </w:rPr>
        <w:t>и др</w:t>
      </w:r>
      <w:r w:rsidR="0010032E" w:rsidRPr="00DC6BDD">
        <w:t>.</w:t>
      </w:r>
      <w:r w:rsidR="0010032E">
        <w:rPr>
          <w:lang w:val="mk-MK"/>
        </w:rPr>
        <w:t xml:space="preserve"> (</w:t>
      </w:r>
      <w:r w:rsidR="0010032E" w:rsidRPr="00DC6BDD">
        <w:t>2002)</w:t>
      </w:r>
      <w:r w:rsidR="0010032E">
        <w:rPr>
          <w:lang w:val="mk-MK"/>
        </w:rPr>
        <w:t>, таквиот фокус е неопходен за опстанок на компанијата во светот базиран на конкуренција. Ова прашање не е многу истражувано во земјите во транзиција, со ретки исклучоци (</w:t>
      </w:r>
      <w:r w:rsidR="0010032E" w:rsidRPr="00DC6BDD">
        <w:rPr>
          <w:rFonts w:eastAsia="Times New Roman"/>
          <w:szCs w:val="24"/>
        </w:rPr>
        <w:t xml:space="preserve">Mramor </w:t>
      </w:r>
      <w:r w:rsidR="0010032E">
        <w:rPr>
          <w:rFonts w:eastAsia="Times New Roman"/>
          <w:szCs w:val="24"/>
          <w:lang w:val="mk-MK"/>
        </w:rPr>
        <w:t>и</w:t>
      </w:r>
      <w:r w:rsidR="0010032E" w:rsidRPr="00DC6BDD">
        <w:rPr>
          <w:rFonts w:eastAsia="Times New Roman"/>
          <w:szCs w:val="24"/>
        </w:rPr>
        <w:t xml:space="preserve"> Valentin</w:t>
      </w:r>
      <w:r w:rsidR="0010032E" w:rsidRPr="00DC6BDD">
        <w:rPr>
          <w:rFonts w:ascii="Times New Roman CYR" w:hAnsi="Times New Roman CYR" w:cs="Times New Roman CYR"/>
          <w:szCs w:val="24"/>
          <w:lang w:eastAsia="en-GB"/>
        </w:rPr>
        <w:t>č</w:t>
      </w:r>
      <w:r w:rsidR="0010032E" w:rsidRPr="00DC6BDD">
        <w:rPr>
          <w:rFonts w:eastAsia="Times New Roman"/>
          <w:szCs w:val="24"/>
        </w:rPr>
        <w:t>i</w:t>
      </w:r>
      <w:r w:rsidR="0010032E" w:rsidRPr="00DC6BDD">
        <w:rPr>
          <w:rFonts w:ascii="Times New Roman CYR" w:hAnsi="Times New Roman CYR" w:cs="Times New Roman CYR"/>
          <w:szCs w:val="24"/>
          <w:lang w:eastAsia="en-GB"/>
        </w:rPr>
        <w:t>č</w:t>
      </w:r>
      <w:r w:rsidR="0010032E">
        <w:rPr>
          <w:rFonts w:ascii="Times New Roman CYR" w:hAnsi="Times New Roman CYR" w:cs="Times New Roman CYR"/>
          <w:szCs w:val="24"/>
          <w:lang w:val="mk-MK" w:eastAsia="en-GB"/>
        </w:rPr>
        <w:t xml:space="preserve">, </w:t>
      </w:r>
      <w:r w:rsidR="0010032E">
        <w:rPr>
          <w:rFonts w:eastAsia="Times New Roman"/>
          <w:szCs w:val="24"/>
        </w:rPr>
        <w:t>2001</w:t>
      </w:r>
      <w:r w:rsidR="0010032E">
        <w:rPr>
          <w:rFonts w:eastAsia="Times New Roman"/>
          <w:szCs w:val="24"/>
          <w:lang w:val="mk-MK"/>
        </w:rPr>
        <w:t xml:space="preserve">; </w:t>
      </w:r>
      <w:r w:rsidR="0010032E" w:rsidRPr="00DC6BDD">
        <w:t xml:space="preserve">Stubelj </w:t>
      </w:r>
      <w:r w:rsidR="0010032E">
        <w:rPr>
          <w:lang w:val="mk-MK"/>
        </w:rPr>
        <w:t>и др</w:t>
      </w:r>
      <w:r w:rsidR="0010032E" w:rsidRPr="00DC6BDD">
        <w:t>.</w:t>
      </w:r>
      <w:r w:rsidR="0010032E">
        <w:rPr>
          <w:lang w:val="mk-MK"/>
        </w:rPr>
        <w:t xml:space="preserve">, </w:t>
      </w:r>
      <w:r w:rsidR="0010032E" w:rsidRPr="00DC6BDD">
        <w:t>2017)</w:t>
      </w:r>
      <w:r w:rsidR="0010032E">
        <w:rPr>
          <w:lang w:val="mk-MK"/>
        </w:rPr>
        <w:t>, посебно на случајот на Словенија.</w:t>
      </w:r>
    </w:p>
    <w:p w:rsidR="0010032E" w:rsidRDefault="0010032E" w:rsidP="001213AB">
      <w:pPr>
        <w:spacing w:line="276" w:lineRule="auto"/>
        <w:jc w:val="both"/>
        <w:rPr>
          <w:lang w:val="mk-MK"/>
        </w:rPr>
      </w:pPr>
    </w:p>
    <w:p w:rsidR="0010032E" w:rsidRDefault="0010032E" w:rsidP="001213AB">
      <w:pPr>
        <w:spacing w:line="276" w:lineRule="auto"/>
        <w:jc w:val="both"/>
        <w:rPr>
          <w:lang w:val="mk-MK"/>
        </w:rPr>
      </w:pPr>
    </w:p>
    <w:p w:rsidR="00584364" w:rsidRDefault="00584364" w:rsidP="001213AB">
      <w:pPr>
        <w:spacing w:line="276" w:lineRule="auto"/>
        <w:jc w:val="both"/>
        <w:rPr>
          <w:b/>
          <w:lang w:val="mk-MK"/>
        </w:rPr>
      </w:pPr>
      <w:r>
        <w:rPr>
          <w:b/>
          <w:lang w:val="mk-MK"/>
        </w:rPr>
        <w:t>Методологија на истражување и резултати</w:t>
      </w:r>
    </w:p>
    <w:p w:rsidR="00584364" w:rsidRDefault="00584364" w:rsidP="001213AB">
      <w:pPr>
        <w:spacing w:line="276" w:lineRule="auto"/>
        <w:jc w:val="both"/>
        <w:rPr>
          <w:b/>
          <w:lang w:val="mk-MK"/>
        </w:rPr>
      </w:pPr>
    </w:p>
    <w:p w:rsidR="00584364" w:rsidRDefault="00584364" w:rsidP="001213AB">
      <w:pPr>
        <w:spacing w:line="276" w:lineRule="auto"/>
        <w:ind w:firstLine="720"/>
        <w:jc w:val="both"/>
        <w:rPr>
          <w:lang w:val="mk-MK"/>
        </w:rPr>
      </w:pPr>
      <w:r>
        <w:rPr>
          <w:lang w:val="mk-MK"/>
        </w:rPr>
        <w:t>а) Структурата на капиталот на македонските компании</w:t>
      </w:r>
    </w:p>
    <w:p w:rsidR="00584364" w:rsidRDefault="00584364" w:rsidP="001213AB">
      <w:pPr>
        <w:spacing w:line="276" w:lineRule="auto"/>
        <w:ind w:firstLine="720"/>
        <w:jc w:val="both"/>
        <w:rPr>
          <w:lang w:val="mk-MK"/>
        </w:rPr>
      </w:pPr>
    </w:p>
    <w:p w:rsidR="00584364" w:rsidRDefault="00584364" w:rsidP="001213AB">
      <w:pPr>
        <w:spacing w:line="276" w:lineRule="auto"/>
        <w:ind w:firstLine="720"/>
        <w:jc w:val="both"/>
        <w:rPr>
          <w:lang w:val="mk-MK"/>
        </w:rPr>
      </w:pPr>
      <w:r>
        <w:rPr>
          <w:lang w:val="mk-MK"/>
        </w:rPr>
        <w:t>Во овој дел ќе се обидеме да утврдиме каква е структурата на изворите на финансирање на македонските компании и кои се клучните детерминанти на таквата структура. Целта на таквото истражување е да откриеме која од теориите за структурата на капиталот најмногу соодветствува на однесувањето на нашите компании, па врз основа на тоа да ги согледаме можните импликации на таквите практики.</w:t>
      </w:r>
    </w:p>
    <w:p w:rsidR="00584364" w:rsidRPr="00FD070D" w:rsidRDefault="00584364" w:rsidP="001213AB">
      <w:pPr>
        <w:spacing w:line="276" w:lineRule="auto"/>
        <w:ind w:firstLine="720"/>
        <w:jc w:val="both"/>
        <w:rPr>
          <w:lang w:val="mk-MK"/>
        </w:rPr>
      </w:pPr>
      <w:r>
        <w:rPr>
          <w:lang w:val="mk-MK"/>
        </w:rPr>
        <w:t xml:space="preserve">За таа цел, направен е примерок од 32 котирани акционерски друштва на Македонската берза. Согласно праксата на ова поле, од истражувањето се исклучуваат компаниите од финансискиот сектор, поради специфичната структура на изворите на финансирање. За овие компании се добиени детални податоци од нивните финансиски извештаи за периодот 2005-2015 година од сервисот </w:t>
      </w:r>
      <w:r>
        <w:t>Thomson Reuters</w:t>
      </w:r>
      <w:r>
        <w:rPr>
          <w:lang w:val="mk-MK"/>
        </w:rPr>
        <w:t xml:space="preserve">. </w:t>
      </w:r>
      <w:r w:rsidR="0044338F">
        <w:rPr>
          <w:lang w:val="mk-MK"/>
        </w:rPr>
        <w:t>Со оглед на тоа што располагаме со вакво множество од податоци, применуваме панел регресионен модел со повеќе варијабли.</w:t>
      </w:r>
      <w:r w:rsidR="009B07DE">
        <w:rPr>
          <w:lang w:val="mk-MK"/>
        </w:rPr>
        <w:t xml:space="preserve"> Дополнително, за проверка на точноста, истите пресметки се направени и со помал примерок, од 29 компании, исклучувајќи 3 компании кои во споменатиот период минуваат низ процес на преструктурирање.</w:t>
      </w:r>
      <w:r w:rsidR="00FD070D">
        <w:t xml:space="preserve"> </w:t>
      </w:r>
      <w:r w:rsidR="00FD070D">
        <w:rPr>
          <w:lang w:val="mk-MK"/>
        </w:rPr>
        <w:t xml:space="preserve">Изборот на фиксни или случајни ефекти е направен врз основа на </w:t>
      </w:r>
      <w:r w:rsidR="00FD070D">
        <w:t>Hausmann тестот.</w:t>
      </w:r>
    </w:p>
    <w:p w:rsidR="0044338F" w:rsidRDefault="0044338F" w:rsidP="001213AB">
      <w:pPr>
        <w:spacing w:line="276" w:lineRule="auto"/>
        <w:ind w:firstLine="720"/>
        <w:jc w:val="both"/>
        <w:rPr>
          <w:lang w:val="mk-MK"/>
        </w:rPr>
      </w:pPr>
      <w:r>
        <w:rPr>
          <w:lang w:val="mk-MK"/>
        </w:rPr>
        <w:t xml:space="preserve">Варијаблите во моделот се оние кои најчесто се среќаваат во трудови на оваа тема и тоа се всушност потенцијалните детерминанти на структурата на капиталот, кои треба да ни откријат која од теориите најмногу одговара на нашата ситуација. </w:t>
      </w:r>
      <w:r w:rsidR="00C71F7E">
        <w:rPr>
          <w:lang w:val="mk-MK"/>
        </w:rPr>
        <w:t>Како зависна променлива стандардно се зема показателот за задолженоста на компанијата, но и тој се јавува во неколку варијанти: вкупни обврски/вкупна актива (кај нас: В</w:t>
      </w:r>
      <w:r w:rsidR="00A21BF2">
        <w:rPr>
          <w:lang w:val="mk-MK"/>
        </w:rPr>
        <w:t>О</w:t>
      </w:r>
      <w:r w:rsidR="00C71F7E">
        <w:rPr>
          <w:lang w:val="mk-MK"/>
        </w:rPr>
        <w:t>), вкупни кредити/вкупна актива (ВК) или долгорочни кредити/вкупна актива (ДК). Како независни променливи ќе ги земеме:</w:t>
      </w:r>
    </w:p>
    <w:p w:rsidR="00C71F7E" w:rsidRDefault="00C71F7E" w:rsidP="001213AB">
      <w:pPr>
        <w:pStyle w:val="ListParagraph"/>
        <w:numPr>
          <w:ilvl w:val="0"/>
          <w:numId w:val="1"/>
        </w:numPr>
        <w:spacing w:line="276" w:lineRule="auto"/>
        <w:jc w:val="both"/>
        <w:rPr>
          <w:lang w:val="mk-MK"/>
        </w:rPr>
      </w:pPr>
      <w:r>
        <w:rPr>
          <w:lang w:val="mk-MK"/>
        </w:rPr>
        <w:t>Големината на компанијата (ГОЛ</w:t>
      </w:r>
      <w:r w:rsidR="00DF15FD">
        <w:rPr>
          <w:lang w:val="mk-MK"/>
        </w:rPr>
        <w:t>ЕМ</w:t>
      </w:r>
      <w:r>
        <w:rPr>
          <w:lang w:val="mk-MK"/>
        </w:rPr>
        <w:t>), која се добива како природен логаритам на вкупните средства, односно вкупната актива;</w:t>
      </w:r>
    </w:p>
    <w:p w:rsidR="00C71F7E" w:rsidRPr="004A29F0" w:rsidRDefault="00C71F7E" w:rsidP="001213AB">
      <w:pPr>
        <w:pStyle w:val="ListParagraph"/>
        <w:numPr>
          <w:ilvl w:val="0"/>
          <w:numId w:val="1"/>
        </w:numPr>
        <w:spacing w:line="276" w:lineRule="auto"/>
        <w:jc w:val="both"/>
        <w:rPr>
          <w:lang w:val="mk-MK"/>
        </w:rPr>
      </w:pPr>
      <w:r>
        <w:rPr>
          <w:lang w:val="mk-MK"/>
        </w:rPr>
        <w:t>Профитабилноста (ПРОФ), пресметана како однос помеѓу оперативната добивка и просечните вкупни средства;</w:t>
      </w:r>
    </w:p>
    <w:p w:rsidR="004A29F0" w:rsidRDefault="004A29F0" w:rsidP="001213AB">
      <w:pPr>
        <w:pStyle w:val="ListParagraph"/>
        <w:numPr>
          <w:ilvl w:val="0"/>
          <w:numId w:val="1"/>
        </w:numPr>
        <w:spacing w:line="276" w:lineRule="auto"/>
        <w:jc w:val="both"/>
        <w:rPr>
          <w:lang w:val="mk-MK"/>
        </w:rPr>
      </w:pPr>
      <w:r>
        <w:rPr>
          <w:lang w:val="mk-MK"/>
        </w:rPr>
        <w:t>Допирливоста, т.е. материјалноста на средствата (МАТ) како однос меѓу вкупните постојани допирливи средства и вкупната актива;</w:t>
      </w:r>
    </w:p>
    <w:p w:rsidR="00C71F7E" w:rsidRDefault="002C2E9F" w:rsidP="001213AB">
      <w:pPr>
        <w:pStyle w:val="ListParagraph"/>
        <w:numPr>
          <w:ilvl w:val="0"/>
          <w:numId w:val="1"/>
        </w:numPr>
        <w:spacing w:line="276" w:lineRule="auto"/>
        <w:jc w:val="both"/>
        <w:rPr>
          <w:lang w:val="mk-MK"/>
        </w:rPr>
      </w:pPr>
      <w:r>
        <w:rPr>
          <w:lang w:val="mk-MK"/>
        </w:rPr>
        <w:lastRenderedPageBreak/>
        <w:t xml:space="preserve">Данокот на добивка (ДАНОК), кој треба да е ефективната стапка на данок на добивка што ја плаќа компанијата, но поради неквалитетни податоци, ја употребивме </w:t>
      </w:r>
      <w:r w:rsidR="00037E05">
        <w:rPr>
          <w:lang w:val="mk-MK"/>
        </w:rPr>
        <w:t xml:space="preserve">и </w:t>
      </w:r>
      <w:r>
        <w:rPr>
          <w:lang w:val="mk-MK"/>
        </w:rPr>
        <w:t>номиналната стапка</w:t>
      </w:r>
      <w:r w:rsidR="00037E05">
        <w:rPr>
          <w:lang w:val="mk-MK"/>
        </w:rPr>
        <w:t xml:space="preserve"> во анализираниот период</w:t>
      </w:r>
      <w:r>
        <w:rPr>
          <w:lang w:val="mk-MK"/>
        </w:rPr>
        <w:t>;</w:t>
      </w:r>
    </w:p>
    <w:p w:rsidR="002C2E9F" w:rsidRDefault="00037E05" w:rsidP="001213AB">
      <w:pPr>
        <w:pStyle w:val="ListParagraph"/>
        <w:numPr>
          <w:ilvl w:val="0"/>
          <w:numId w:val="1"/>
        </w:numPr>
        <w:spacing w:line="276" w:lineRule="auto"/>
        <w:jc w:val="both"/>
        <w:rPr>
          <w:lang w:val="mk-MK"/>
        </w:rPr>
      </w:pPr>
      <w:r>
        <w:rPr>
          <w:lang w:val="mk-MK"/>
        </w:rPr>
        <w:t>Растежот на компанијата, односно нејзините капитални инвестиции (РАСТ</w:t>
      </w:r>
      <w:r w:rsidR="00427796">
        <w:rPr>
          <w:lang w:val="mk-MK"/>
        </w:rPr>
        <w:t>ЕЖ</w:t>
      </w:r>
      <w:r>
        <w:rPr>
          <w:lang w:val="mk-MK"/>
        </w:rPr>
        <w:t>), како збир од инвестициите во последните две години во однос на вкупната актива.</w:t>
      </w:r>
    </w:p>
    <w:p w:rsidR="00037E05" w:rsidRPr="00FB76C6" w:rsidRDefault="00037E05" w:rsidP="001213AB">
      <w:pPr>
        <w:spacing w:line="276" w:lineRule="auto"/>
        <w:ind w:firstLine="720"/>
        <w:jc w:val="both"/>
        <w:rPr>
          <w:lang w:val="mk-MK"/>
        </w:rPr>
      </w:pPr>
      <w:r>
        <w:rPr>
          <w:lang w:val="mk-MK"/>
        </w:rPr>
        <w:t xml:space="preserve">Тука нема детално да го аргументираме изборот на овие варијабли и нивните мерила, </w:t>
      </w:r>
      <w:r w:rsidRPr="001D4D8A">
        <w:rPr>
          <w:lang w:val="mk-MK"/>
        </w:rPr>
        <w:t>зашто тоа може да се најде во бројни дела од релевантната литература (</w:t>
      </w:r>
      <w:r w:rsidRPr="001D4D8A">
        <w:t>Bauer, 200</w:t>
      </w:r>
      <w:r w:rsidR="001D4D8A" w:rsidRPr="001D4D8A">
        <w:t>4</w:t>
      </w:r>
      <w:r w:rsidRPr="001D4D8A">
        <w:t xml:space="preserve">). </w:t>
      </w:r>
      <w:r w:rsidRPr="001D4D8A">
        <w:rPr>
          <w:lang w:val="mk-MK"/>
        </w:rPr>
        <w:t>Очекуваните</w:t>
      </w:r>
      <w:r>
        <w:rPr>
          <w:lang w:val="mk-MK"/>
        </w:rPr>
        <w:t xml:space="preserve"> знаци на променливите можат да бидат различни, а токму нивниот исход ни дава аргумент за избор на конкретна теорија за структурата на капиталот како најсоодветна.</w:t>
      </w:r>
      <w:r w:rsidR="00FB76C6">
        <w:t xml:space="preserve"> </w:t>
      </w:r>
      <w:r w:rsidR="00FB76C6">
        <w:rPr>
          <w:lang w:val="mk-MK"/>
        </w:rPr>
        <w:t>Оттука, равенката на регресиониот модел гласи:</w:t>
      </w:r>
    </w:p>
    <w:p w:rsidR="00DF15FD" w:rsidRDefault="00DF15FD" w:rsidP="001213AB">
      <w:pPr>
        <w:spacing w:line="276" w:lineRule="auto"/>
        <w:ind w:firstLine="720"/>
        <w:jc w:val="both"/>
      </w:pPr>
    </w:p>
    <w:p w:rsidR="00FB76C6" w:rsidRPr="00713820" w:rsidRDefault="00FB76C6" w:rsidP="001213AB">
      <w:pPr>
        <w:tabs>
          <w:tab w:val="left" w:pos="720"/>
          <w:tab w:val="left" w:pos="1440"/>
          <w:tab w:val="left" w:pos="2160"/>
          <w:tab w:val="left" w:pos="2880"/>
          <w:tab w:val="left" w:pos="3600"/>
          <w:tab w:val="center" w:pos="4513"/>
        </w:tabs>
        <w:spacing w:line="276" w:lineRule="auto"/>
        <w:jc w:val="center"/>
        <w:rPr>
          <w:i/>
        </w:rPr>
      </w:pPr>
      <w:r>
        <w:rPr>
          <w:i/>
          <w:lang w:val="mk-MK"/>
        </w:rPr>
        <w:t>ДОЛГ</w:t>
      </w:r>
      <w:r w:rsidRPr="00713820">
        <w:rPr>
          <w:i/>
          <w:vertAlign w:val="subscript"/>
        </w:rPr>
        <w:t xml:space="preserve">i,t </w:t>
      </w:r>
      <w:r w:rsidRPr="00713820">
        <w:rPr>
          <w:i/>
        </w:rPr>
        <w:t xml:space="preserve">= </w:t>
      </w:r>
      <w:r w:rsidRPr="00713820">
        <w:rPr>
          <w:rFonts w:ascii="Symbol" w:hAnsi="Symbol"/>
          <w:i/>
        </w:rPr>
        <w:t></w:t>
      </w:r>
      <w:r w:rsidRPr="00713820">
        <w:rPr>
          <w:i/>
        </w:rPr>
        <w:t xml:space="preserve"> + </w:t>
      </w:r>
      <w:r w:rsidRPr="00713820">
        <w:rPr>
          <w:rFonts w:ascii="Symbol" w:hAnsi="Symbol"/>
          <w:i/>
        </w:rPr>
        <w:t></w:t>
      </w:r>
      <w:r w:rsidRPr="00713820">
        <w:rPr>
          <w:i/>
          <w:vertAlign w:val="subscript"/>
        </w:rPr>
        <w:t>1</w:t>
      </w:r>
      <w:r w:rsidRPr="00713820">
        <w:rPr>
          <w:i/>
        </w:rPr>
        <w:t xml:space="preserve"> </w:t>
      </w:r>
      <w:r>
        <w:rPr>
          <w:i/>
          <w:lang w:val="mk-MK"/>
        </w:rPr>
        <w:t>МАТ</w:t>
      </w:r>
      <w:r w:rsidRPr="00713820">
        <w:rPr>
          <w:i/>
          <w:vertAlign w:val="subscript"/>
        </w:rPr>
        <w:t>i,t</w:t>
      </w:r>
      <w:r w:rsidRPr="00713820">
        <w:rPr>
          <w:i/>
        </w:rPr>
        <w:t xml:space="preserve"> + </w:t>
      </w:r>
      <w:r w:rsidRPr="00713820">
        <w:rPr>
          <w:rFonts w:ascii="Symbol" w:hAnsi="Symbol"/>
          <w:i/>
        </w:rPr>
        <w:t></w:t>
      </w:r>
      <w:r w:rsidRPr="00713820">
        <w:rPr>
          <w:i/>
          <w:vertAlign w:val="subscript"/>
        </w:rPr>
        <w:t>2</w:t>
      </w:r>
      <w:r w:rsidRPr="00713820">
        <w:rPr>
          <w:i/>
        </w:rPr>
        <w:t xml:space="preserve"> </w:t>
      </w:r>
      <w:r>
        <w:rPr>
          <w:i/>
          <w:lang w:val="mk-MK"/>
        </w:rPr>
        <w:t>ГОЛЕМ</w:t>
      </w:r>
      <w:r w:rsidRPr="00713820">
        <w:rPr>
          <w:i/>
          <w:vertAlign w:val="subscript"/>
        </w:rPr>
        <w:t>i,t</w:t>
      </w:r>
      <w:r w:rsidRPr="00713820">
        <w:rPr>
          <w:i/>
        </w:rPr>
        <w:t xml:space="preserve"> + </w:t>
      </w:r>
      <w:r w:rsidRPr="00713820">
        <w:rPr>
          <w:rFonts w:ascii="Symbol" w:hAnsi="Symbol"/>
          <w:i/>
        </w:rPr>
        <w:t></w:t>
      </w:r>
      <w:r w:rsidRPr="00713820">
        <w:rPr>
          <w:i/>
          <w:vertAlign w:val="subscript"/>
        </w:rPr>
        <w:t>3</w:t>
      </w:r>
      <w:r w:rsidRPr="00713820">
        <w:rPr>
          <w:i/>
        </w:rPr>
        <w:t xml:space="preserve"> </w:t>
      </w:r>
      <w:r>
        <w:rPr>
          <w:i/>
          <w:lang w:val="mk-MK"/>
        </w:rPr>
        <w:t>ПРОФ</w:t>
      </w:r>
      <w:r w:rsidRPr="00713820">
        <w:rPr>
          <w:i/>
          <w:vertAlign w:val="subscript"/>
        </w:rPr>
        <w:t>i,t</w:t>
      </w:r>
      <w:r w:rsidRPr="00713820">
        <w:rPr>
          <w:i/>
        </w:rPr>
        <w:t xml:space="preserve"> + </w:t>
      </w:r>
      <w:r w:rsidRPr="00713820">
        <w:rPr>
          <w:rFonts w:ascii="Symbol" w:hAnsi="Symbol"/>
          <w:i/>
        </w:rPr>
        <w:t></w:t>
      </w:r>
      <w:r w:rsidRPr="00713820">
        <w:rPr>
          <w:i/>
          <w:vertAlign w:val="subscript"/>
        </w:rPr>
        <w:t>4</w:t>
      </w:r>
      <w:r w:rsidRPr="00713820">
        <w:rPr>
          <w:i/>
        </w:rPr>
        <w:t xml:space="preserve"> </w:t>
      </w:r>
      <w:r>
        <w:rPr>
          <w:i/>
          <w:lang w:val="mk-MK"/>
        </w:rPr>
        <w:t>ДАНОК</w:t>
      </w:r>
      <w:r w:rsidRPr="00713820">
        <w:rPr>
          <w:i/>
          <w:vertAlign w:val="subscript"/>
        </w:rPr>
        <w:t>i,t</w:t>
      </w:r>
      <w:r w:rsidRPr="00713820">
        <w:rPr>
          <w:i/>
        </w:rPr>
        <w:t xml:space="preserve"> + </w:t>
      </w:r>
      <w:r w:rsidRPr="00713820">
        <w:rPr>
          <w:rFonts w:ascii="Symbol" w:hAnsi="Symbol"/>
          <w:i/>
        </w:rPr>
        <w:t></w:t>
      </w:r>
      <w:r w:rsidRPr="00713820">
        <w:rPr>
          <w:i/>
          <w:vertAlign w:val="subscript"/>
        </w:rPr>
        <w:t>5</w:t>
      </w:r>
      <w:r w:rsidRPr="00713820">
        <w:rPr>
          <w:i/>
        </w:rPr>
        <w:t xml:space="preserve"> </w:t>
      </w:r>
      <w:r>
        <w:rPr>
          <w:i/>
          <w:lang w:val="mk-MK"/>
        </w:rPr>
        <w:t>РАСТЕЖ</w:t>
      </w:r>
      <w:r>
        <w:rPr>
          <w:i/>
          <w:vertAlign w:val="subscript"/>
        </w:rPr>
        <w:t>i,t</w:t>
      </w:r>
      <w:r w:rsidRPr="00713820">
        <w:rPr>
          <w:i/>
        </w:rPr>
        <w:t xml:space="preserve"> </w:t>
      </w:r>
      <w:r>
        <w:t xml:space="preserve">+ </w:t>
      </w:r>
      <w:r w:rsidRPr="00C06850">
        <w:rPr>
          <w:rFonts w:ascii="Symbol" w:hAnsi="Symbol"/>
          <w:i/>
        </w:rPr>
        <w:t></w:t>
      </w:r>
      <w:r w:rsidRPr="00C06850">
        <w:rPr>
          <w:i/>
          <w:vertAlign w:val="subscript"/>
        </w:rPr>
        <w:t>i,t</w:t>
      </w:r>
    </w:p>
    <w:p w:rsidR="00FB76C6" w:rsidRDefault="00FB76C6" w:rsidP="001213AB">
      <w:pPr>
        <w:tabs>
          <w:tab w:val="left" w:pos="720"/>
          <w:tab w:val="left" w:pos="1440"/>
          <w:tab w:val="left" w:pos="2160"/>
          <w:tab w:val="left" w:pos="2880"/>
          <w:tab w:val="left" w:pos="3600"/>
          <w:tab w:val="center" w:pos="4513"/>
        </w:tabs>
        <w:spacing w:line="276" w:lineRule="auto"/>
        <w:jc w:val="center"/>
      </w:pPr>
    </w:p>
    <w:p w:rsidR="00037E05" w:rsidRDefault="00037E05" w:rsidP="001213AB">
      <w:pPr>
        <w:spacing w:line="276" w:lineRule="auto"/>
        <w:ind w:firstLine="720"/>
        <w:jc w:val="both"/>
      </w:pPr>
      <w:r>
        <w:rPr>
          <w:lang w:val="mk-MK"/>
        </w:rPr>
        <w:t xml:space="preserve">Резултатите од </w:t>
      </w:r>
      <w:r w:rsidR="00FB76C6">
        <w:rPr>
          <w:lang w:val="mk-MK"/>
        </w:rPr>
        <w:t>панел регресиониот модел</w:t>
      </w:r>
      <w:r>
        <w:rPr>
          <w:lang w:val="mk-MK"/>
        </w:rPr>
        <w:t xml:space="preserve">, со примена на неколку варијанти на зависната променлива </w:t>
      </w:r>
      <w:r w:rsidR="009B07DE">
        <w:rPr>
          <w:lang w:val="mk-MK"/>
        </w:rPr>
        <w:t xml:space="preserve">и за обата примероци </w:t>
      </w:r>
      <w:r>
        <w:rPr>
          <w:lang w:val="mk-MK"/>
        </w:rPr>
        <w:t xml:space="preserve">се дадени во </w:t>
      </w:r>
      <w:r w:rsidRPr="00427796">
        <w:rPr>
          <w:lang w:val="mk-MK"/>
        </w:rPr>
        <w:t xml:space="preserve">табелата </w:t>
      </w:r>
      <w:r w:rsidR="00DF15FD" w:rsidRPr="00427796">
        <w:t>1</w:t>
      </w:r>
      <w:r>
        <w:rPr>
          <w:lang w:val="mk-MK"/>
        </w:rPr>
        <w:t>.</w:t>
      </w:r>
    </w:p>
    <w:p w:rsidR="00DF15FD" w:rsidRDefault="00DF15FD" w:rsidP="001213AB">
      <w:pPr>
        <w:spacing w:line="276" w:lineRule="auto"/>
        <w:jc w:val="both"/>
        <w:rPr>
          <w:lang w:val="mk-MK"/>
        </w:rPr>
      </w:pPr>
    </w:p>
    <w:p w:rsidR="00427796" w:rsidRPr="00427796" w:rsidRDefault="00427796" w:rsidP="001213AB">
      <w:pPr>
        <w:spacing w:line="276" w:lineRule="auto"/>
        <w:jc w:val="both"/>
        <w:rPr>
          <w:lang w:val="mk-MK"/>
        </w:rPr>
      </w:pPr>
      <w:r>
        <w:rPr>
          <w:lang w:val="mk-MK"/>
        </w:rPr>
        <w:t>Табела 1: Коефициенти на детерминантите на задолженоста на компаниите</w:t>
      </w:r>
    </w:p>
    <w:tbl>
      <w:tblPr>
        <w:tblStyle w:val="TableGrid"/>
        <w:tblW w:w="0" w:type="auto"/>
        <w:tblLook w:val="04A0" w:firstRow="1" w:lastRow="0" w:firstColumn="1" w:lastColumn="0" w:noHBand="0" w:noVBand="1"/>
      </w:tblPr>
      <w:tblGrid>
        <w:gridCol w:w="2161"/>
        <w:gridCol w:w="1366"/>
        <w:gridCol w:w="1164"/>
        <w:gridCol w:w="1234"/>
        <w:gridCol w:w="1338"/>
        <w:gridCol w:w="1112"/>
        <w:gridCol w:w="1201"/>
      </w:tblGrid>
      <w:tr w:rsidR="009B07DE" w:rsidTr="00427796">
        <w:trPr>
          <w:trHeight w:val="441"/>
        </w:trPr>
        <w:tc>
          <w:tcPr>
            <w:tcW w:w="2161" w:type="dxa"/>
            <w:vAlign w:val="center"/>
          </w:tcPr>
          <w:p w:rsidR="009B07DE" w:rsidRPr="009B07DE" w:rsidRDefault="009B07DE" w:rsidP="001213AB">
            <w:pPr>
              <w:jc w:val="center"/>
              <w:rPr>
                <w:b/>
                <w:sz w:val="22"/>
              </w:rPr>
            </w:pPr>
          </w:p>
        </w:tc>
        <w:tc>
          <w:tcPr>
            <w:tcW w:w="3764" w:type="dxa"/>
            <w:gridSpan w:val="3"/>
            <w:vAlign w:val="center"/>
          </w:tcPr>
          <w:p w:rsidR="009B07DE" w:rsidRPr="009B07DE" w:rsidRDefault="009B07DE" w:rsidP="001213AB">
            <w:pPr>
              <w:jc w:val="center"/>
              <w:rPr>
                <w:b/>
                <w:sz w:val="22"/>
                <w:lang w:val="mk-MK"/>
              </w:rPr>
            </w:pPr>
            <w:r w:rsidRPr="009B07DE">
              <w:rPr>
                <w:b/>
                <w:sz w:val="22"/>
                <w:lang w:val="mk-MK"/>
              </w:rPr>
              <w:t>32 компании</w:t>
            </w:r>
          </w:p>
        </w:tc>
        <w:tc>
          <w:tcPr>
            <w:tcW w:w="3651" w:type="dxa"/>
            <w:gridSpan w:val="3"/>
            <w:vAlign w:val="center"/>
          </w:tcPr>
          <w:p w:rsidR="009B07DE" w:rsidRPr="009B07DE" w:rsidRDefault="009B07DE" w:rsidP="001213AB">
            <w:pPr>
              <w:jc w:val="center"/>
              <w:rPr>
                <w:b/>
                <w:sz w:val="22"/>
              </w:rPr>
            </w:pPr>
            <w:r w:rsidRPr="009B07DE">
              <w:rPr>
                <w:b/>
                <w:sz w:val="22"/>
                <w:lang w:val="mk-MK"/>
              </w:rPr>
              <w:t>29 компании</w:t>
            </w:r>
          </w:p>
        </w:tc>
      </w:tr>
      <w:tr w:rsidR="00822DE9" w:rsidTr="009B07DE">
        <w:trPr>
          <w:trHeight w:val="441"/>
        </w:trPr>
        <w:tc>
          <w:tcPr>
            <w:tcW w:w="2161" w:type="dxa"/>
            <w:vAlign w:val="center"/>
          </w:tcPr>
          <w:p w:rsidR="00822DE9" w:rsidRPr="009B07DE" w:rsidRDefault="00822DE9" w:rsidP="001213AB">
            <w:pPr>
              <w:jc w:val="center"/>
              <w:rPr>
                <w:b/>
                <w:sz w:val="22"/>
              </w:rPr>
            </w:pPr>
          </w:p>
        </w:tc>
        <w:tc>
          <w:tcPr>
            <w:tcW w:w="1366" w:type="dxa"/>
            <w:vAlign w:val="center"/>
          </w:tcPr>
          <w:p w:rsidR="00822DE9" w:rsidRPr="009B07DE" w:rsidRDefault="00822DE9" w:rsidP="001213AB">
            <w:pPr>
              <w:jc w:val="center"/>
              <w:rPr>
                <w:b/>
                <w:sz w:val="22"/>
                <w:lang w:val="mk-MK"/>
              </w:rPr>
            </w:pPr>
            <w:r w:rsidRPr="009B07DE">
              <w:rPr>
                <w:b/>
                <w:sz w:val="22"/>
                <w:lang w:val="mk-MK"/>
              </w:rPr>
              <w:t>ДК</w:t>
            </w:r>
          </w:p>
        </w:tc>
        <w:tc>
          <w:tcPr>
            <w:tcW w:w="1164" w:type="dxa"/>
            <w:vAlign w:val="center"/>
          </w:tcPr>
          <w:p w:rsidR="00822DE9" w:rsidRPr="009B07DE" w:rsidRDefault="00822DE9" w:rsidP="001213AB">
            <w:pPr>
              <w:jc w:val="center"/>
              <w:rPr>
                <w:b/>
                <w:sz w:val="22"/>
                <w:lang w:val="mk-MK"/>
              </w:rPr>
            </w:pPr>
            <w:r w:rsidRPr="009B07DE">
              <w:rPr>
                <w:b/>
                <w:sz w:val="22"/>
                <w:lang w:val="mk-MK"/>
              </w:rPr>
              <w:t>ВК</w:t>
            </w:r>
          </w:p>
        </w:tc>
        <w:tc>
          <w:tcPr>
            <w:tcW w:w="1234" w:type="dxa"/>
            <w:vAlign w:val="center"/>
          </w:tcPr>
          <w:p w:rsidR="00822DE9" w:rsidRPr="009B07DE" w:rsidRDefault="00822DE9" w:rsidP="001213AB">
            <w:pPr>
              <w:jc w:val="center"/>
              <w:rPr>
                <w:b/>
                <w:sz w:val="22"/>
                <w:lang w:val="mk-MK"/>
              </w:rPr>
            </w:pPr>
            <w:r>
              <w:rPr>
                <w:b/>
                <w:sz w:val="22"/>
                <w:lang w:val="mk-MK"/>
              </w:rPr>
              <w:t>В</w:t>
            </w:r>
            <w:r w:rsidR="00A21BF2">
              <w:rPr>
                <w:b/>
                <w:sz w:val="22"/>
                <w:lang w:val="mk-MK"/>
              </w:rPr>
              <w:t>О</w:t>
            </w:r>
          </w:p>
        </w:tc>
        <w:tc>
          <w:tcPr>
            <w:tcW w:w="1338" w:type="dxa"/>
            <w:vAlign w:val="center"/>
          </w:tcPr>
          <w:p w:rsidR="00822DE9" w:rsidRPr="009B07DE" w:rsidRDefault="00822DE9" w:rsidP="001213AB">
            <w:pPr>
              <w:jc w:val="center"/>
              <w:rPr>
                <w:b/>
                <w:sz w:val="22"/>
                <w:lang w:val="mk-MK"/>
              </w:rPr>
            </w:pPr>
            <w:r w:rsidRPr="009B07DE">
              <w:rPr>
                <w:b/>
                <w:sz w:val="22"/>
                <w:lang w:val="mk-MK"/>
              </w:rPr>
              <w:t>ДК</w:t>
            </w:r>
          </w:p>
        </w:tc>
        <w:tc>
          <w:tcPr>
            <w:tcW w:w="1112" w:type="dxa"/>
            <w:vAlign w:val="center"/>
          </w:tcPr>
          <w:p w:rsidR="00822DE9" w:rsidRPr="009B07DE" w:rsidRDefault="00822DE9" w:rsidP="001213AB">
            <w:pPr>
              <w:jc w:val="center"/>
              <w:rPr>
                <w:b/>
                <w:sz w:val="22"/>
                <w:lang w:val="mk-MK"/>
              </w:rPr>
            </w:pPr>
            <w:r w:rsidRPr="009B07DE">
              <w:rPr>
                <w:b/>
                <w:sz w:val="22"/>
                <w:lang w:val="mk-MK"/>
              </w:rPr>
              <w:t>ВК</w:t>
            </w:r>
          </w:p>
        </w:tc>
        <w:tc>
          <w:tcPr>
            <w:tcW w:w="1201" w:type="dxa"/>
            <w:vAlign w:val="center"/>
          </w:tcPr>
          <w:p w:rsidR="00822DE9" w:rsidRPr="009B07DE" w:rsidRDefault="00822DE9" w:rsidP="001213AB">
            <w:pPr>
              <w:jc w:val="center"/>
              <w:rPr>
                <w:b/>
                <w:sz w:val="22"/>
                <w:lang w:val="mk-MK"/>
              </w:rPr>
            </w:pPr>
            <w:r>
              <w:rPr>
                <w:b/>
                <w:sz w:val="22"/>
                <w:lang w:val="mk-MK"/>
              </w:rPr>
              <w:t>В</w:t>
            </w:r>
            <w:r w:rsidR="00A21BF2">
              <w:rPr>
                <w:b/>
                <w:sz w:val="22"/>
                <w:lang w:val="mk-MK"/>
              </w:rPr>
              <w:t>О</w:t>
            </w:r>
          </w:p>
        </w:tc>
      </w:tr>
      <w:tr w:rsidR="00822DE9" w:rsidTr="00CF0BB7">
        <w:trPr>
          <w:trHeight w:val="263"/>
        </w:trPr>
        <w:tc>
          <w:tcPr>
            <w:tcW w:w="2161" w:type="dxa"/>
            <w:vAlign w:val="center"/>
          </w:tcPr>
          <w:p w:rsidR="00822DE9" w:rsidRPr="009B07DE" w:rsidRDefault="00822DE9" w:rsidP="001213AB">
            <w:pPr>
              <w:rPr>
                <w:sz w:val="22"/>
              </w:rPr>
            </w:pPr>
            <w:r w:rsidRPr="00427796">
              <w:rPr>
                <w:sz w:val="22"/>
                <w:lang w:val="mk-MK"/>
              </w:rPr>
              <w:t xml:space="preserve">Коефициент </w:t>
            </w:r>
            <w:r w:rsidRPr="00427796">
              <w:rPr>
                <w:sz w:val="22"/>
              </w:rPr>
              <w:t>C</w:t>
            </w:r>
          </w:p>
        </w:tc>
        <w:tc>
          <w:tcPr>
            <w:tcW w:w="1366" w:type="dxa"/>
          </w:tcPr>
          <w:p w:rsidR="00822DE9" w:rsidRPr="00CF0BB7" w:rsidRDefault="00822DE9" w:rsidP="001213AB">
            <w:pPr>
              <w:jc w:val="center"/>
              <w:rPr>
                <w:sz w:val="22"/>
                <w:lang w:val="mk-MK"/>
              </w:rPr>
            </w:pPr>
            <w:r w:rsidRPr="00CF0BB7">
              <w:rPr>
                <w:sz w:val="22"/>
              </w:rPr>
              <w:t>-1,2448</w:t>
            </w:r>
            <w:r w:rsidRPr="00CF0BB7">
              <w:rPr>
                <w:sz w:val="22"/>
                <w:lang w:val="mk-MK"/>
              </w:rPr>
              <w:t>***</w:t>
            </w:r>
          </w:p>
          <w:p w:rsidR="00822DE9" w:rsidRPr="00CF0BB7" w:rsidRDefault="00822DE9" w:rsidP="001213AB">
            <w:pPr>
              <w:jc w:val="center"/>
              <w:rPr>
                <w:sz w:val="22"/>
              </w:rPr>
            </w:pPr>
            <w:r w:rsidRPr="00CF0BB7">
              <w:rPr>
                <w:sz w:val="22"/>
              </w:rPr>
              <w:t>(0,435)</w:t>
            </w:r>
          </w:p>
        </w:tc>
        <w:tc>
          <w:tcPr>
            <w:tcW w:w="1164" w:type="dxa"/>
          </w:tcPr>
          <w:p w:rsidR="00822DE9" w:rsidRPr="00CF0BB7" w:rsidRDefault="00822DE9" w:rsidP="001213AB">
            <w:pPr>
              <w:jc w:val="center"/>
              <w:rPr>
                <w:sz w:val="22"/>
              </w:rPr>
            </w:pPr>
            <w:r w:rsidRPr="00CF0BB7">
              <w:rPr>
                <w:sz w:val="22"/>
              </w:rPr>
              <w:t>-0,070</w:t>
            </w:r>
          </w:p>
          <w:p w:rsidR="00822DE9" w:rsidRPr="00CF0BB7" w:rsidRDefault="00822DE9" w:rsidP="001213AB">
            <w:pPr>
              <w:jc w:val="center"/>
              <w:rPr>
                <w:sz w:val="22"/>
              </w:rPr>
            </w:pPr>
            <w:r w:rsidRPr="00CF0BB7">
              <w:rPr>
                <w:sz w:val="22"/>
              </w:rPr>
              <w:t>(0,341)</w:t>
            </w:r>
          </w:p>
        </w:tc>
        <w:tc>
          <w:tcPr>
            <w:tcW w:w="1234" w:type="dxa"/>
          </w:tcPr>
          <w:tbl>
            <w:tblPr>
              <w:tblW w:w="0" w:type="auto"/>
              <w:tblInd w:w="30" w:type="dxa"/>
              <w:tblCellMar>
                <w:left w:w="0" w:type="dxa"/>
                <w:right w:w="0" w:type="dxa"/>
              </w:tblCellMar>
              <w:tblLook w:val="0000" w:firstRow="0" w:lastRow="0" w:firstColumn="0" w:lastColumn="0" w:noHBand="0" w:noVBand="0"/>
            </w:tblPr>
            <w:tblGrid>
              <w:gridCol w:w="988"/>
            </w:tblGrid>
            <w:tr w:rsidR="00822DE9" w:rsidRPr="00CF0BB7" w:rsidTr="00681724">
              <w:trPr>
                <w:trHeight w:val="225"/>
              </w:trPr>
              <w:tc>
                <w:tcPr>
                  <w:tcW w:w="1072" w:type="dxa"/>
                  <w:tcBorders>
                    <w:top w:val="nil"/>
                    <w:left w:val="nil"/>
                    <w:bottom w:val="nil"/>
                    <w:right w:val="nil"/>
                  </w:tcBorders>
                  <w:vAlign w:val="bottom"/>
                </w:tcPr>
                <w:p w:rsidR="00822DE9" w:rsidRPr="00CF0BB7" w:rsidRDefault="00822DE9" w:rsidP="001213AB">
                  <w:pPr>
                    <w:autoSpaceDE w:val="0"/>
                    <w:autoSpaceDN w:val="0"/>
                    <w:adjustRightInd w:val="0"/>
                    <w:ind w:right="10"/>
                    <w:jc w:val="right"/>
                    <w:rPr>
                      <w:color w:val="000000"/>
                      <w:sz w:val="22"/>
                    </w:rPr>
                  </w:pPr>
                  <w:r w:rsidRPr="00CF0BB7">
                    <w:rPr>
                      <w:color w:val="000000"/>
                      <w:sz w:val="22"/>
                    </w:rPr>
                    <w:t>-0</w:t>
                  </w:r>
                  <w:r>
                    <w:rPr>
                      <w:color w:val="000000"/>
                      <w:sz w:val="22"/>
                    </w:rPr>
                    <w:t>,</w:t>
                  </w:r>
                  <w:r w:rsidRPr="00CF0BB7">
                    <w:rPr>
                      <w:color w:val="000000"/>
                      <w:sz w:val="22"/>
                    </w:rPr>
                    <w:t>2727</w:t>
                  </w:r>
                </w:p>
              </w:tc>
            </w:tr>
          </w:tbl>
          <w:p w:rsidR="00822DE9" w:rsidRPr="00CF0BB7" w:rsidRDefault="00822DE9" w:rsidP="001213AB">
            <w:pPr>
              <w:jc w:val="center"/>
              <w:rPr>
                <w:sz w:val="22"/>
              </w:rPr>
            </w:pPr>
            <w:r w:rsidRPr="00CF0BB7">
              <w:rPr>
                <w:sz w:val="22"/>
              </w:rPr>
              <w:t>(0,444)</w:t>
            </w:r>
          </w:p>
        </w:tc>
        <w:tc>
          <w:tcPr>
            <w:tcW w:w="1338" w:type="dxa"/>
          </w:tcPr>
          <w:p w:rsidR="00822DE9" w:rsidRPr="00CF0BB7" w:rsidRDefault="00822DE9" w:rsidP="001213AB">
            <w:pPr>
              <w:jc w:val="center"/>
              <w:rPr>
                <w:sz w:val="22"/>
                <w:lang w:val="mk-MK"/>
              </w:rPr>
            </w:pPr>
            <w:r w:rsidRPr="00CF0BB7">
              <w:rPr>
                <w:sz w:val="22"/>
              </w:rPr>
              <w:t>-</w:t>
            </w:r>
            <w:r>
              <w:rPr>
                <w:sz w:val="22"/>
              </w:rPr>
              <w:t>2,330</w:t>
            </w:r>
            <w:r w:rsidRPr="00CF0BB7">
              <w:rPr>
                <w:sz w:val="22"/>
                <w:lang w:val="mk-MK"/>
              </w:rPr>
              <w:t>***</w:t>
            </w:r>
          </w:p>
          <w:p w:rsidR="00822DE9" w:rsidRPr="00CF0BB7" w:rsidRDefault="00822DE9" w:rsidP="001213AB">
            <w:pPr>
              <w:jc w:val="center"/>
              <w:rPr>
                <w:sz w:val="22"/>
              </w:rPr>
            </w:pPr>
            <w:r w:rsidRPr="00CF0BB7">
              <w:rPr>
                <w:sz w:val="22"/>
              </w:rPr>
              <w:t>(0,4</w:t>
            </w:r>
            <w:r>
              <w:rPr>
                <w:sz w:val="22"/>
              </w:rPr>
              <w:t>71</w:t>
            </w:r>
            <w:r w:rsidRPr="00CF0BB7">
              <w:rPr>
                <w:sz w:val="22"/>
              </w:rPr>
              <w:t>)</w:t>
            </w:r>
          </w:p>
        </w:tc>
        <w:tc>
          <w:tcPr>
            <w:tcW w:w="1112" w:type="dxa"/>
          </w:tcPr>
          <w:p w:rsidR="00822DE9" w:rsidRPr="00CF0BB7" w:rsidRDefault="00822DE9" w:rsidP="001213AB">
            <w:pPr>
              <w:jc w:val="center"/>
              <w:rPr>
                <w:sz w:val="22"/>
              </w:rPr>
            </w:pPr>
            <w:r w:rsidRPr="00CF0BB7">
              <w:rPr>
                <w:sz w:val="22"/>
              </w:rPr>
              <w:t>-0,</w:t>
            </w:r>
            <w:r>
              <w:rPr>
                <w:sz w:val="22"/>
              </w:rPr>
              <w:t>297</w:t>
            </w:r>
          </w:p>
          <w:p w:rsidR="00822DE9" w:rsidRPr="00CF0BB7" w:rsidRDefault="00822DE9" w:rsidP="001213AB">
            <w:pPr>
              <w:jc w:val="center"/>
              <w:rPr>
                <w:sz w:val="22"/>
              </w:rPr>
            </w:pPr>
            <w:r w:rsidRPr="00CF0BB7">
              <w:rPr>
                <w:sz w:val="22"/>
              </w:rPr>
              <w:t>(0,34</w:t>
            </w:r>
            <w:r>
              <w:rPr>
                <w:sz w:val="22"/>
              </w:rPr>
              <w:t>9</w:t>
            </w:r>
            <w:r w:rsidRPr="00CF0BB7">
              <w:rPr>
                <w:sz w:val="22"/>
              </w:rPr>
              <w:t>)</w:t>
            </w:r>
          </w:p>
        </w:tc>
        <w:tc>
          <w:tcPr>
            <w:tcW w:w="1201" w:type="dxa"/>
          </w:tcPr>
          <w:tbl>
            <w:tblPr>
              <w:tblW w:w="0" w:type="auto"/>
              <w:tblInd w:w="30" w:type="dxa"/>
              <w:tblCellMar>
                <w:left w:w="0" w:type="dxa"/>
                <w:right w:w="0" w:type="dxa"/>
              </w:tblCellMar>
              <w:tblLook w:val="0000" w:firstRow="0" w:lastRow="0" w:firstColumn="0" w:lastColumn="0" w:noHBand="0" w:noVBand="0"/>
            </w:tblPr>
            <w:tblGrid>
              <w:gridCol w:w="955"/>
            </w:tblGrid>
            <w:tr w:rsidR="00822DE9" w:rsidRPr="00CF0BB7" w:rsidTr="00985A70">
              <w:trPr>
                <w:trHeight w:val="225"/>
              </w:trPr>
              <w:tc>
                <w:tcPr>
                  <w:tcW w:w="1072" w:type="dxa"/>
                  <w:tcBorders>
                    <w:top w:val="nil"/>
                    <w:left w:val="nil"/>
                    <w:bottom w:val="nil"/>
                    <w:right w:val="nil"/>
                  </w:tcBorders>
                  <w:vAlign w:val="bottom"/>
                </w:tcPr>
                <w:p w:rsidR="00822DE9" w:rsidRPr="00CF0BB7" w:rsidRDefault="00822DE9" w:rsidP="001213AB">
                  <w:pPr>
                    <w:autoSpaceDE w:val="0"/>
                    <w:autoSpaceDN w:val="0"/>
                    <w:adjustRightInd w:val="0"/>
                    <w:ind w:right="10"/>
                    <w:jc w:val="center"/>
                    <w:rPr>
                      <w:color w:val="000000"/>
                      <w:sz w:val="22"/>
                    </w:rPr>
                  </w:pPr>
                  <w:r w:rsidRPr="00CF0BB7">
                    <w:rPr>
                      <w:color w:val="000000"/>
                      <w:sz w:val="22"/>
                    </w:rPr>
                    <w:t>-0</w:t>
                  </w:r>
                  <w:r>
                    <w:rPr>
                      <w:color w:val="000000"/>
                      <w:sz w:val="22"/>
                    </w:rPr>
                    <w:t>,725*</w:t>
                  </w:r>
                </w:p>
              </w:tc>
            </w:tr>
          </w:tbl>
          <w:p w:rsidR="00822DE9" w:rsidRPr="00CF0BB7" w:rsidRDefault="00822DE9" w:rsidP="001213AB">
            <w:pPr>
              <w:jc w:val="center"/>
              <w:rPr>
                <w:sz w:val="22"/>
              </w:rPr>
            </w:pPr>
            <w:r w:rsidRPr="00CF0BB7">
              <w:rPr>
                <w:sz w:val="22"/>
              </w:rPr>
              <w:t>(0,4</w:t>
            </w:r>
            <w:r>
              <w:rPr>
                <w:sz w:val="22"/>
              </w:rPr>
              <w:t>02</w:t>
            </w:r>
            <w:r w:rsidRPr="00CF0BB7">
              <w:rPr>
                <w:sz w:val="22"/>
              </w:rPr>
              <w:t>)</w:t>
            </w:r>
          </w:p>
        </w:tc>
      </w:tr>
      <w:tr w:rsidR="00822DE9" w:rsidTr="00CF0BB7">
        <w:tc>
          <w:tcPr>
            <w:tcW w:w="2161" w:type="dxa"/>
            <w:vAlign w:val="center"/>
          </w:tcPr>
          <w:p w:rsidR="00822DE9" w:rsidRPr="009B07DE" w:rsidRDefault="00822DE9" w:rsidP="001213AB">
            <w:pPr>
              <w:rPr>
                <w:sz w:val="22"/>
              </w:rPr>
            </w:pPr>
            <w:r w:rsidRPr="009B07DE">
              <w:rPr>
                <w:sz w:val="22"/>
              </w:rPr>
              <w:t>MAT</w:t>
            </w:r>
          </w:p>
        </w:tc>
        <w:tc>
          <w:tcPr>
            <w:tcW w:w="1366" w:type="dxa"/>
          </w:tcPr>
          <w:p w:rsidR="00822DE9" w:rsidRPr="00CF0BB7" w:rsidRDefault="00822DE9" w:rsidP="001213AB">
            <w:pPr>
              <w:jc w:val="center"/>
              <w:rPr>
                <w:sz w:val="22"/>
              </w:rPr>
            </w:pPr>
            <w:r w:rsidRPr="00CF0BB7">
              <w:rPr>
                <w:sz w:val="22"/>
              </w:rPr>
              <w:t>0,0642</w:t>
            </w:r>
          </w:p>
          <w:p w:rsidR="00822DE9" w:rsidRPr="00CF0BB7" w:rsidRDefault="00822DE9" w:rsidP="001213AB">
            <w:pPr>
              <w:jc w:val="center"/>
              <w:rPr>
                <w:sz w:val="22"/>
              </w:rPr>
            </w:pPr>
            <w:r w:rsidRPr="00CF0BB7">
              <w:rPr>
                <w:sz w:val="22"/>
              </w:rPr>
              <w:t>(0,0491)</w:t>
            </w:r>
          </w:p>
        </w:tc>
        <w:tc>
          <w:tcPr>
            <w:tcW w:w="1164" w:type="dxa"/>
          </w:tcPr>
          <w:p w:rsidR="00822DE9" w:rsidRPr="00CF0BB7" w:rsidRDefault="00822DE9" w:rsidP="001213AB">
            <w:pPr>
              <w:jc w:val="center"/>
              <w:rPr>
                <w:sz w:val="22"/>
              </w:rPr>
            </w:pPr>
            <w:r w:rsidRPr="00CF0BB7">
              <w:rPr>
                <w:sz w:val="22"/>
              </w:rPr>
              <w:t>0,070</w:t>
            </w:r>
          </w:p>
          <w:p w:rsidR="00822DE9" w:rsidRPr="00CF0BB7" w:rsidRDefault="00822DE9" w:rsidP="001213AB">
            <w:pPr>
              <w:jc w:val="center"/>
              <w:rPr>
                <w:sz w:val="22"/>
              </w:rPr>
            </w:pPr>
            <w:r w:rsidRPr="00CF0BB7">
              <w:rPr>
                <w:sz w:val="22"/>
              </w:rPr>
              <w:t>(0,057)</w:t>
            </w:r>
          </w:p>
        </w:tc>
        <w:tc>
          <w:tcPr>
            <w:tcW w:w="1234" w:type="dxa"/>
          </w:tcPr>
          <w:p w:rsidR="00822DE9" w:rsidRPr="00CF0BB7" w:rsidRDefault="00822DE9" w:rsidP="001213AB">
            <w:pPr>
              <w:jc w:val="center"/>
              <w:rPr>
                <w:color w:val="000000"/>
                <w:sz w:val="22"/>
              </w:rPr>
            </w:pPr>
            <w:r w:rsidRPr="00CF0BB7">
              <w:rPr>
                <w:color w:val="000000"/>
                <w:sz w:val="22"/>
              </w:rPr>
              <w:t>-0</w:t>
            </w:r>
            <w:r>
              <w:rPr>
                <w:color w:val="000000"/>
                <w:sz w:val="22"/>
              </w:rPr>
              <w:t>,</w:t>
            </w:r>
            <w:r w:rsidRPr="00CF0BB7">
              <w:rPr>
                <w:color w:val="000000"/>
                <w:sz w:val="22"/>
              </w:rPr>
              <w:t>1620**</w:t>
            </w:r>
          </w:p>
          <w:p w:rsidR="00822DE9" w:rsidRPr="00CF0BB7" w:rsidRDefault="00822DE9" w:rsidP="001213AB">
            <w:pPr>
              <w:jc w:val="center"/>
              <w:rPr>
                <w:sz w:val="22"/>
              </w:rPr>
            </w:pPr>
            <w:r w:rsidRPr="00CF0BB7">
              <w:rPr>
                <w:color w:val="000000"/>
                <w:sz w:val="22"/>
              </w:rPr>
              <w:t>(0,077)</w:t>
            </w:r>
          </w:p>
        </w:tc>
        <w:tc>
          <w:tcPr>
            <w:tcW w:w="1338" w:type="dxa"/>
          </w:tcPr>
          <w:p w:rsidR="00822DE9" w:rsidRPr="00CF0BB7" w:rsidRDefault="00822DE9" w:rsidP="001213AB">
            <w:pPr>
              <w:jc w:val="center"/>
              <w:rPr>
                <w:sz w:val="22"/>
              </w:rPr>
            </w:pPr>
            <w:r>
              <w:rPr>
                <w:sz w:val="22"/>
              </w:rPr>
              <w:t>-</w:t>
            </w:r>
            <w:r w:rsidRPr="00CF0BB7">
              <w:rPr>
                <w:sz w:val="22"/>
              </w:rPr>
              <w:t>0,</w:t>
            </w:r>
            <w:r>
              <w:rPr>
                <w:sz w:val="22"/>
              </w:rPr>
              <w:t>049</w:t>
            </w:r>
          </w:p>
          <w:p w:rsidR="00822DE9" w:rsidRPr="00CF0BB7" w:rsidRDefault="00822DE9" w:rsidP="001213AB">
            <w:pPr>
              <w:jc w:val="center"/>
              <w:rPr>
                <w:sz w:val="22"/>
              </w:rPr>
            </w:pPr>
            <w:r w:rsidRPr="00CF0BB7">
              <w:rPr>
                <w:sz w:val="22"/>
              </w:rPr>
              <w:t>(0,0</w:t>
            </w:r>
            <w:r>
              <w:rPr>
                <w:sz w:val="22"/>
              </w:rPr>
              <w:t>55</w:t>
            </w:r>
            <w:r w:rsidRPr="00CF0BB7">
              <w:rPr>
                <w:sz w:val="22"/>
              </w:rPr>
              <w:t>)</w:t>
            </w:r>
          </w:p>
        </w:tc>
        <w:tc>
          <w:tcPr>
            <w:tcW w:w="1112" w:type="dxa"/>
          </w:tcPr>
          <w:p w:rsidR="00822DE9" w:rsidRPr="00CF0BB7" w:rsidRDefault="00822DE9" w:rsidP="001213AB">
            <w:pPr>
              <w:jc w:val="center"/>
              <w:rPr>
                <w:sz w:val="22"/>
              </w:rPr>
            </w:pPr>
            <w:r w:rsidRPr="00CF0BB7">
              <w:rPr>
                <w:sz w:val="22"/>
              </w:rPr>
              <w:t>0,0</w:t>
            </w:r>
            <w:r>
              <w:rPr>
                <w:sz w:val="22"/>
              </w:rPr>
              <w:t>16</w:t>
            </w:r>
          </w:p>
          <w:p w:rsidR="00822DE9" w:rsidRPr="00CF0BB7" w:rsidRDefault="00822DE9" w:rsidP="001213AB">
            <w:pPr>
              <w:jc w:val="center"/>
              <w:rPr>
                <w:sz w:val="22"/>
              </w:rPr>
            </w:pPr>
            <w:r w:rsidRPr="00CF0BB7">
              <w:rPr>
                <w:sz w:val="22"/>
              </w:rPr>
              <w:t>(0,0</w:t>
            </w:r>
            <w:r>
              <w:rPr>
                <w:sz w:val="22"/>
              </w:rPr>
              <w:t>06</w:t>
            </w:r>
            <w:r w:rsidRPr="00CF0BB7">
              <w:rPr>
                <w:sz w:val="22"/>
              </w:rPr>
              <w:t>)</w:t>
            </w:r>
          </w:p>
        </w:tc>
        <w:tc>
          <w:tcPr>
            <w:tcW w:w="1201" w:type="dxa"/>
          </w:tcPr>
          <w:p w:rsidR="00822DE9" w:rsidRPr="00CF0BB7" w:rsidRDefault="00822DE9" w:rsidP="001213AB">
            <w:pPr>
              <w:jc w:val="center"/>
              <w:rPr>
                <w:color w:val="000000"/>
                <w:sz w:val="22"/>
              </w:rPr>
            </w:pPr>
            <w:r w:rsidRPr="00CF0BB7">
              <w:rPr>
                <w:color w:val="000000"/>
                <w:sz w:val="22"/>
              </w:rPr>
              <w:t>-0</w:t>
            </w:r>
            <w:r>
              <w:rPr>
                <w:color w:val="000000"/>
                <w:sz w:val="22"/>
              </w:rPr>
              <w:t>,</w:t>
            </w:r>
            <w:r w:rsidRPr="00CF0BB7">
              <w:rPr>
                <w:color w:val="000000"/>
                <w:sz w:val="22"/>
              </w:rPr>
              <w:t>1</w:t>
            </w:r>
            <w:r>
              <w:rPr>
                <w:color w:val="000000"/>
                <w:sz w:val="22"/>
              </w:rPr>
              <w:t>02</w:t>
            </w:r>
          </w:p>
          <w:p w:rsidR="00822DE9" w:rsidRPr="00CF0BB7" w:rsidRDefault="00822DE9" w:rsidP="001213AB">
            <w:pPr>
              <w:jc w:val="center"/>
              <w:rPr>
                <w:sz w:val="22"/>
              </w:rPr>
            </w:pPr>
            <w:r w:rsidRPr="00CF0BB7">
              <w:rPr>
                <w:color w:val="000000"/>
                <w:sz w:val="22"/>
              </w:rPr>
              <w:t>(0,0</w:t>
            </w:r>
            <w:r>
              <w:rPr>
                <w:color w:val="000000"/>
                <w:sz w:val="22"/>
              </w:rPr>
              <w:t>68</w:t>
            </w:r>
            <w:r w:rsidRPr="00CF0BB7">
              <w:rPr>
                <w:color w:val="000000"/>
                <w:sz w:val="22"/>
              </w:rPr>
              <w:t>)</w:t>
            </w:r>
          </w:p>
        </w:tc>
      </w:tr>
      <w:tr w:rsidR="00822DE9" w:rsidTr="00CF0BB7">
        <w:tc>
          <w:tcPr>
            <w:tcW w:w="2161" w:type="dxa"/>
            <w:vAlign w:val="center"/>
          </w:tcPr>
          <w:p w:rsidR="00822DE9" w:rsidRPr="009B07DE" w:rsidRDefault="00822DE9" w:rsidP="001213AB">
            <w:pPr>
              <w:rPr>
                <w:sz w:val="22"/>
                <w:lang w:val="mk-MK"/>
              </w:rPr>
            </w:pPr>
            <w:r w:rsidRPr="009B07DE">
              <w:rPr>
                <w:sz w:val="22"/>
                <w:lang w:val="mk-MK"/>
              </w:rPr>
              <w:t>ГОЛЕМ</w:t>
            </w:r>
          </w:p>
        </w:tc>
        <w:tc>
          <w:tcPr>
            <w:tcW w:w="1366" w:type="dxa"/>
          </w:tcPr>
          <w:p w:rsidR="00822DE9" w:rsidRPr="00CF0BB7" w:rsidRDefault="00822DE9" w:rsidP="001213AB">
            <w:pPr>
              <w:jc w:val="center"/>
              <w:rPr>
                <w:sz w:val="22"/>
                <w:lang w:val="mk-MK"/>
              </w:rPr>
            </w:pPr>
            <w:r w:rsidRPr="00CF0BB7">
              <w:rPr>
                <w:sz w:val="22"/>
                <w:lang w:val="mk-MK"/>
              </w:rPr>
              <w:t>0,0622***</w:t>
            </w:r>
          </w:p>
          <w:p w:rsidR="00822DE9" w:rsidRPr="00CF0BB7" w:rsidRDefault="00822DE9" w:rsidP="001213AB">
            <w:pPr>
              <w:jc w:val="center"/>
              <w:rPr>
                <w:sz w:val="22"/>
                <w:lang w:val="mk-MK"/>
              </w:rPr>
            </w:pPr>
            <w:r w:rsidRPr="00CF0BB7">
              <w:rPr>
                <w:sz w:val="22"/>
                <w:lang w:val="mk-MK"/>
              </w:rPr>
              <w:t>(0,0204)</w:t>
            </w:r>
          </w:p>
        </w:tc>
        <w:tc>
          <w:tcPr>
            <w:tcW w:w="1164" w:type="dxa"/>
          </w:tcPr>
          <w:p w:rsidR="00822DE9" w:rsidRPr="00CF0BB7" w:rsidRDefault="00822DE9" w:rsidP="001213AB">
            <w:pPr>
              <w:jc w:val="center"/>
              <w:rPr>
                <w:sz w:val="22"/>
              </w:rPr>
            </w:pPr>
            <w:r w:rsidRPr="00CF0BB7">
              <w:rPr>
                <w:sz w:val="22"/>
              </w:rPr>
              <w:t>0,0111</w:t>
            </w:r>
          </w:p>
          <w:p w:rsidR="00822DE9" w:rsidRPr="00CF0BB7" w:rsidRDefault="00822DE9" w:rsidP="001213AB">
            <w:pPr>
              <w:jc w:val="center"/>
              <w:rPr>
                <w:sz w:val="22"/>
              </w:rPr>
            </w:pPr>
            <w:r w:rsidRPr="00CF0BB7">
              <w:rPr>
                <w:sz w:val="22"/>
              </w:rPr>
              <w:t>(0,016)</w:t>
            </w:r>
          </w:p>
        </w:tc>
        <w:tc>
          <w:tcPr>
            <w:tcW w:w="1234" w:type="dxa"/>
          </w:tcPr>
          <w:tbl>
            <w:tblPr>
              <w:tblW w:w="0" w:type="auto"/>
              <w:tblInd w:w="30" w:type="dxa"/>
              <w:tblCellMar>
                <w:left w:w="0" w:type="dxa"/>
                <w:right w:w="0" w:type="dxa"/>
              </w:tblCellMar>
              <w:tblLook w:val="0000" w:firstRow="0" w:lastRow="0" w:firstColumn="0" w:lastColumn="0" w:noHBand="0" w:noVBand="0"/>
            </w:tblPr>
            <w:tblGrid>
              <w:gridCol w:w="988"/>
            </w:tblGrid>
            <w:tr w:rsidR="00822DE9" w:rsidRPr="00CF0BB7" w:rsidTr="00350CA6">
              <w:trPr>
                <w:trHeight w:val="225"/>
              </w:trPr>
              <w:tc>
                <w:tcPr>
                  <w:tcW w:w="1072" w:type="dxa"/>
                  <w:tcBorders>
                    <w:top w:val="nil"/>
                    <w:left w:val="nil"/>
                    <w:bottom w:val="nil"/>
                    <w:right w:val="nil"/>
                  </w:tcBorders>
                  <w:vAlign w:val="bottom"/>
                </w:tcPr>
                <w:p w:rsidR="00822DE9" w:rsidRPr="00CF0BB7" w:rsidRDefault="00822DE9" w:rsidP="001213AB">
                  <w:pPr>
                    <w:autoSpaceDE w:val="0"/>
                    <w:autoSpaceDN w:val="0"/>
                    <w:adjustRightInd w:val="0"/>
                    <w:ind w:right="10"/>
                    <w:jc w:val="right"/>
                    <w:rPr>
                      <w:color w:val="000000"/>
                      <w:sz w:val="22"/>
                    </w:rPr>
                  </w:pPr>
                  <w:r w:rsidRPr="00CF0BB7">
                    <w:rPr>
                      <w:color w:val="000000"/>
                      <w:sz w:val="22"/>
                    </w:rPr>
                    <w:t>0</w:t>
                  </w:r>
                  <w:r>
                    <w:rPr>
                      <w:color w:val="000000"/>
                      <w:sz w:val="22"/>
                    </w:rPr>
                    <w:t>,</w:t>
                  </w:r>
                  <w:r w:rsidRPr="00CF0BB7">
                    <w:rPr>
                      <w:color w:val="000000"/>
                      <w:sz w:val="22"/>
                    </w:rPr>
                    <w:t>0367*</w:t>
                  </w:r>
                </w:p>
              </w:tc>
            </w:tr>
            <w:tr w:rsidR="00822DE9" w:rsidRPr="00CF0BB7" w:rsidTr="00350CA6">
              <w:trPr>
                <w:trHeight w:val="225"/>
              </w:trPr>
              <w:tc>
                <w:tcPr>
                  <w:tcW w:w="1072" w:type="dxa"/>
                  <w:tcBorders>
                    <w:top w:val="nil"/>
                    <w:left w:val="nil"/>
                    <w:bottom w:val="nil"/>
                    <w:right w:val="nil"/>
                  </w:tcBorders>
                  <w:vAlign w:val="bottom"/>
                </w:tcPr>
                <w:p w:rsidR="00822DE9" w:rsidRPr="00CF0BB7" w:rsidRDefault="00822DE9" w:rsidP="001213AB">
                  <w:pPr>
                    <w:autoSpaceDE w:val="0"/>
                    <w:autoSpaceDN w:val="0"/>
                    <w:adjustRightInd w:val="0"/>
                    <w:ind w:right="10"/>
                    <w:jc w:val="right"/>
                    <w:rPr>
                      <w:color w:val="000000"/>
                      <w:sz w:val="22"/>
                    </w:rPr>
                  </w:pPr>
                  <w:r w:rsidRPr="00CF0BB7">
                    <w:rPr>
                      <w:color w:val="000000"/>
                      <w:sz w:val="22"/>
                    </w:rPr>
                    <w:t>(0,0207)</w:t>
                  </w:r>
                </w:p>
              </w:tc>
            </w:tr>
          </w:tbl>
          <w:p w:rsidR="00822DE9" w:rsidRPr="00CF0BB7" w:rsidRDefault="00822DE9" w:rsidP="001213AB">
            <w:pPr>
              <w:jc w:val="center"/>
              <w:rPr>
                <w:sz w:val="22"/>
              </w:rPr>
            </w:pPr>
          </w:p>
        </w:tc>
        <w:tc>
          <w:tcPr>
            <w:tcW w:w="1338" w:type="dxa"/>
          </w:tcPr>
          <w:p w:rsidR="00822DE9" w:rsidRPr="00CF0BB7" w:rsidRDefault="00822DE9" w:rsidP="001213AB">
            <w:pPr>
              <w:jc w:val="center"/>
              <w:rPr>
                <w:sz w:val="22"/>
                <w:lang w:val="mk-MK"/>
              </w:rPr>
            </w:pPr>
            <w:r w:rsidRPr="00CF0BB7">
              <w:rPr>
                <w:sz w:val="22"/>
                <w:lang w:val="mk-MK"/>
              </w:rPr>
              <w:t>0,</w:t>
            </w:r>
            <w:r>
              <w:rPr>
                <w:sz w:val="22"/>
              </w:rPr>
              <w:t>1169</w:t>
            </w:r>
            <w:r w:rsidRPr="00CF0BB7">
              <w:rPr>
                <w:sz w:val="22"/>
                <w:lang w:val="mk-MK"/>
              </w:rPr>
              <w:t>***</w:t>
            </w:r>
          </w:p>
          <w:p w:rsidR="00822DE9" w:rsidRPr="00CF0BB7" w:rsidRDefault="00822DE9" w:rsidP="001213AB">
            <w:pPr>
              <w:jc w:val="center"/>
              <w:rPr>
                <w:sz w:val="22"/>
                <w:lang w:val="mk-MK"/>
              </w:rPr>
            </w:pPr>
            <w:r w:rsidRPr="00CF0BB7">
              <w:rPr>
                <w:sz w:val="22"/>
                <w:lang w:val="mk-MK"/>
              </w:rPr>
              <w:t>(0,0</w:t>
            </w:r>
            <w:r>
              <w:rPr>
                <w:sz w:val="22"/>
              </w:rPr>
              <w:t>222</w:t>
            </w:r>
            <w:r w:rsidRPr="00CF0BB7">
              <w:rPr>
                <w:sz w:val="22"/>
                <w:lang w:val="mk-MK"/>
              </w:rPr>
              <w:t>)</w:t>
            </w:r>
          </w:p>
        </w:tc>
        <w:tc>
          <w:tcPr>
            <w:tcW w:w="1112" w:type="dxa"/>
          </w:tcPr>
          <w:p w:rsidR="00822DE9" w:rsidRPr="00CF0BB7" w:rsidRDefault="00822DE9" w:rsidP="001213AB">
            <w:pPr>
              <w:jc w:val="center"/>
              <w:rPr>
                <w:sz w:val="22"/>
              </w:rPr>
            </w:pPr>
            <w:r w:rsidRPr="00CF0BB7">
              <w:rPr>
                <w:sz w:val="22"/>
              </w:rPr>
              <w:t>0,0</w:t>
            </w:r>
            <w:r>
              <w:rPr>
                <w:sz w:val="22"/>
              </w:rPr>
              <w:t>23</w:t>
            </w:r>
          </w:p>
          <w:p w:rsidR="00822DE9" w:rsidRPr="00CF0BB7" w:rsidRDefault="00822DE9" w:rsidP="001213AB">
            <w:pPr>
              <w:jc w:val="center"/>
              <w:rPr>
                <w:sz w:val="22"/>
              </w:rPr>
            </w:pPr>
            <w:r w:rsidRPr="00CF0BB7">
              <w:rPr>
                <w:sz w:val="22"/>
              </w:rPr>
              <w:t>(0,016)</w:t>
            </w:r>
          </w:p>
        </w:tc>
        <w:tc>
          <w:tcPr>
            <w:tcW w:w="1201" w:type="dxa"/>
          </w:tcPr>
          <w:tbl>
            <w:tblPr>
              <w:tblW w:w="0" w:type="auto"/>
              <w:tblInd w:w="30" w:type="dxa"/>
              <w:tblCellMar>
                <w:left w:w="0" w:type="dxa"/>
                <w:right w:w="0" w:type="dxa"/>
              </w:tblCellMar>
              <w:tblLook w:val="0000" w:firstRow="0" w:lastRow="0" w:firstColumn="0" w:lastColumn="0" w:noHBand="0" w:noVBand="0"/>
            </w:tblPr>
            <w:tblGrid>
              <w:gridCol w:w="955"/>
            </w:tblGrid>
            <w:tr w:rsidR="00822DE9" w:rsidRPr="00CF0BB7" w:rsidTr="00985A70">
              <w:trPr>
                <w:trHeight w:val="225"/>
              </w:trPr>
              <w:tc>
                <w:tcPr>
                  <w:tcW w:w="1072" w:type="dxa"/>
                  <w:tcBorders>
                    <w:top w:val="nil"/>
                    <w:left w:val="nil"/>
                    <w:bottom w:val="nil"/>
                    <w:right w:val="nil"/>
                  </w:tcBorders>
                  <w:vAlign w:val="bottom"/>
                </w:tcPr>
                <w:p w:rsidR="00822DE9" w:rsidRPr="00CF0BB7" w:rsidRDefault="00822DE9" w:rsidP="001213AB">
                  <w:pPr>
                    <w:autoSpaceDE w:val="0"/>
                    <w:autoSpaceDN w:val="0"/>
                    <w:adjustRightInd w:val="0"/>
                    <w:ind w:right="10"/>
                    <w:jc w:val="right"/>
                    <w:rPr>
                      <w:color w:val="000000"/>
                      <w:sz w:val="22"/>
                    </w:rPr>
                  </w:pPr>
                  <w:r w:rsidRPr="00CF0BB7">
                    <w:rPr>
                      <w:color w:val="000000"/>
                      <w:sz w:val="22"/>
                    </w:rPr>
                    <w:t>0</w:t>
                  </w:r>
                  <w:r>
                    <w:rPr>
                      <w:color w:val="000000"/>
                      <w:sz w:val="22"/>
                    </w:rPr>
                    <w:t>,055**</w:t>
                  </w:r>
                  <w:r w:rsidRPr="00CF0BB7">
                    <w:rPr>
                      <w:color w:val="000000"/>
                      <w:sz w:val="22"/>
                    </w:rPr>
                    <w:t>*</w:t>
                  </w:r>
                </w:p>
              </w:tc>
            </w:tr>
            <w:tr w:rsidR="00822DE9" w:rsidRPr="00CF0BB7" w:rsidTr="00985A70">
              <w:trPr>
                <w:trHeight w:val="225"/>
              </w:trPr>
              <w:tc>
                <w:tcPr>
                  <w:tcW w:w="1072" w:type="dxa"/>
                  <w:tcBorders>
                    <w:top w:val="nil"/>
                    <w:left w:val="nil"/>
                    <w:bottom w:val="nil"/>
                    <w:right w:val="nil"/>
                  </w:tcBorders>
                  <w:vAlign w:val="bottom"/>
                </w:tcPr>
                <w:p w:rsidR="00822DE9" w:rsidRPr="00CF0BB7" w:rsidRDefault="00822DE9" w:rsidP="001213AB">
                  <w:pPr>
                    <w:autoSpaceDE w:val="0"/>
                    <w:autoSpaceDN w:val="0"/>
                    <w:adjustRightInd w:val="0"/>
                    <w:ind w:right="10"/>
                    <w:jc w:val="right"/>
                    <w:rPr>
                      <w:color w:val="000000"/>
                      <w:sz w:val="22"/>
                    </w:rPr>
                  </w:pPr>
                  <w:r w:rsidRPr="00CF0BB7">
                    <w:rPr>
                      <w:color w:val="000000"/>
                      <w:sz w:val="22"/>
                    </w:rPr>
                    <w:t>(0,0</w:t>
                  </w:r>
                  <w:r>
                    <w:rPr>
                      <w:color w:val="000000"/>
                      <w:sz w:val="22"/>
                    </w:rPr>
                    <w:t>189</w:t>
                  </w:r>
                  <w:r w:rsidRPr="00CF0BB7">
                    <w:rPr>
                      <w:color w:val="000000"/>
                      <w:sz w:val="22"/>
                    </w:rPr>
                    <w:t>)</w:t>
                  </w:r>
                </w:p>
              </w:tc>
            </w:tr>
          </w:tbl>
          <w:p w:rsidR="00822DE9" w:rsidRPr="00CF0BB7" w:rsidRDefault="00822DE9" w:rsidP="001213AB">
            <w:pPr>
              <w:jc w:val="center"/>
              <w:rPr>
                <w:sz w:val="22"/>
              </w:rPr>
            </w:pPr>
          </w:p>
        </w:tc>
      </w:tr>
      <w:tr w:rsidR="00822DE9" w:rsidTr="00CF0BB7">
        <w:tc>
          <w:tcPr>
            <w:tcW w:w="2161" w:type="dxa"/>
            <w:vAlign w:val="center"/>
          </w:tcPr>
          <w:p w:rsidR="00822DE9" w:rsidRPr="009B07DE" w:rsidRDefault="00822DE9" w:rsidP="001213AB">
            <w:pPr>
              <w:rPr>
                <w:sz w:val="22"/>
                <w:lang w:val="mk-MK"/>
              </w:rPr>
            </w:pPr>
            <w:r w:rsidRPr="009B07DE">
              <w:rPr>
                <w:sz w:val="22"/>
                <w:lang w:val="mk-MK"/>
              </w:rPr>
              <w:t>ПРОФ</w:t>
            </w:r>
          </w:p>
        </w:tc>
        <w:tc>
          <w:tcPr>
            <w:tcW w:w="1366" w:type="dxa"/>
          </w:tcPr>
          <w:p w:rsidR="00822DE9" w:rsidRPr="00CF0BB7" w:rsidRDefault="00822DE9" w:rsidP="001213AB">
            <w:pPr>
              <w:jc w:val="center"/>
              <w:rPr>
                <w:sz w:val="22"/>
                <w:lang w:val="mk-MK"/>
              </w:rPr>
            </w:pPr>
            <w:r w:rsidRPr="00CF0BB7">
              <w:rPr>
                <w:sz w:val="22"/>
                <w:lang w:val="mk-MK"/>
              </w:rPr>
              <w:t>-0,3462***</w:t>
            </w:r>
          </w:p>
          <w:p w:rsidR="00822DE9" w:rsidRPr="00CF0BB7" w:rsidRDefault="00822DE9" w:rsidP="001213AB">
            <w:pPr>
              <w:jc w:val="center"/>
              <w:rPr>
                <w:sz w:val="22"/>
                <w:lang w:val="mk-MK"/>
              </w:rPr>
            </w:pPr>
            <w:r w:rsidRPr="00CF0BB7">
              <w:rPr>
                <w:sz w:val="22"/>
                <w:lang w:val="mk-MK"/>
              </w:rPr>
              <w:t>(0,0532)</w:t>
            </w:r>
          </w:p>
        </w:tc>
        <w:tc>
          <w:tcPr>
            <w:tcW w:w="1164" w:type="dxa"/>
          </w:tcPr>
          <w:p w:rsidR="00822DE9" w:rsidRPr="00CF0BB7" w:rsidRDefault="00822DE9" w:rsidP="001213AB">
            <w:pPr>
              <w:jc w:val="center"/>
              <w:rPr>
                <w:sz w:val="22"/>
              </w:rPr>
            </w:pPr>
            <w:r w:rsidRPr="00CF0BB7">
              <w:rPr>
                <w:sz w:val="22"/>
              </w:rPr>
              <w:t>-0,256***</w:t>
            </w:r>
          </w:p>
          <w:p w:rsidR="00822DE9" w:rsidRPr="00CF0BB7" w:rsidRDefault="00822DE9" w:rsidP="001213AB">
            <w:pPr>
              <w:jc w:val="center"/>
              <w:rPr>
                <w:sz w:val="22"/>
              </w:rPr>
            </w:pPr>
            <w:r w:rsidRPr="00CF0BB7">
              <w:rPr>
                <w:sz w:val="22"/>
              </w:rPr>
              <w:t>(0,066)</w:t>
            </w:r>
          </w:p>
        </w:tc>
        <w:tc>
          <w:tcPr>
            <w:tcW w:w="1234" w:type="dxa"/>
          </w:tcPr>
          <w:p w:rsidR="00822DE9" w:rsidRPr="00CF0BB7" w:rsidRDefault="00822DE9" w:rsidP="001213AB">
            <w:pPr>
              <w:jc w:val="center"/>
              <w:rPr>
                <w:color w:val="000000"/>
                <w:sz w:val="22"/>
              </w:rPr>
            </w:pPr>
            <w:r w:rsidRPr="00CF0BB7">
              <w:rPr>
                <w:color w:val="000000"/>
                <w:sz w:val="22"/>
              </w:rPr>
              <w:t>-0</w:t>
            </w:r>
            <w:r>
              <w:rPr>
                <w:color w:val="000000"/>
                <w:sz w:val="22"/>
              </w:rPr>
              <w:t>,</w:t>
            </w:r>
            <w:r w:rsidRPr="00CF0BB7">
              <w:rPr>
                <w:color w:val="000000"/>
                <w:sz w:val="22"/>
              </w:rPr>
              <w:t>8952***</w:t>
            </w:r>
          </w:p>
          <w:p w:rsidR="00822DE9" w:rsidRPr="00CF0BB7" w:rsidRDefault="00822DE9" w:rsidP="001213AB">
            <w:pPr>
              <w:jc w:val="center"/>
              <w:rPr>
                <w:sz w:val="22"/>
              </w:rPr>
            </w:pPr>
            <w:r w:rsidRPr="00CF0BB7">
              <w:rPr>
                <w:color w:val="000000"/>
                <w:sz w:val="22"/>
              </w:rPr>
              <w:t>(0,0888)</w:t>
            </w:r>
          </w:p>
        </w:tc>
        <w:tc>
          <w:tcPr>
            <w:tcW w:w="1338" w:type="dxa"/>
          </w:tcPr>
          <w:p w:rsidR="00822DE9" w:rsidRPr="00CF0BB7" w:rsidRDefault="00822DE9" w:rsidP="001213AB">
            <w:pPr>
              <w:jc w:val="center"/>
              <w:rPr>
                <w:sz w:val="22"/>
                <w:lang w:val="mk-MK"/>
              </w:rPr>
            </w:pPr>
            <w:r w:rsidRPr="00CF0BB7">
              <w:rPr>
                <w:sz w:val="22"/>
                <w:lang w:val="mk-MK"/>
              </w:rPr>
              <w:t>-0,</w:t>
            </w:r>
            <w:r>
              <w:rPr>
                <w:sz w:val="22"/>
              </w:rPr>
              <w:t>173</w:t>
            </w:r>
            <w:r w:rsidRPr="00CF0BB7">
              <w:rPr>
                <w:sz w:val="22"/>
                <w:lang w:val="mk-MK"/>
              </w:rPr>
              <w:t>**</w:t>
            </w:r>
          </w:p>
          <w:p w:rsidR="00822DE9" w:rsidRPr="00CF0BB7" w:rsidRDefault="00822DE9" w:rsidP="001213AB">
            <w:pPr>
              <w:jc w:val="center"/>
              <w:rPr>
                <w:sz w:val="22"/>
                <w:lang w:val="mk-MK"/>
              </w:rPr>
            </w:pPr>
            <w:r w:rsidRPr="00CF0BB7">
              <w:rPr>
                <w:sz w:val="22"/>
                <w:lang w:val="mk-MK"/>
              </w:rPr>
              <w:t>(0,0</w:t>
            </w:r>
            <w:r>
              <w:rPr>
                <w:sz w:val="22"/>
              </w:rPr>
              <w:t>80</w:t>
            </w:r>
            <w:r w:rsidRPr="00CF0BB7">
              <w:rPr>
                <w:sz w:val="22"/>
                <w:lang w:val="mk-MK"/>
              </w:rPr>
              <w:t>)</w:t>
            </w:r>
          </w:p>
        </w:tc>
        <w:tc>
          <w:tcPr>
            <w:tcW w:w="1112" w:type="dxa"/>
          </w:tcPr>
          <w:p w:rsidR="00822DE9" w:rsidRPr="00CF0BB7" w:rsidRDefault="00822DE9" w:rsidP="001213AB">
            <w:pPr>
              <w:jc w:val="center"/>
              <w:rPr>
                <w:sz w:val="22"/>
              </w:rPr>
            </w:pPr>
            <w:r w:rsidRPr="00CF0BB7">
              <w:rPr>
                <w:sz w:val="22"/>
              </w:rPr>
              <w:t>-0,</w:t>
            </w:r>
            <w:r>
              <w:rPr>
                <w:sz w:val="22"/>
              </w:rPr>
              <w:t>188</w:t>
            </w:r>
            <w:r w:rsidRPr="00CF0BB7">
              <w:rPr>
                <w:sz w:val="22"/>
              </w:rPr>
              <w:t>**</w:t>
            </w:r>
          </w:p>
          <w:p w:rsidR="00822DE9" w:rsidRPr="00CF0BB7" w:rsidRDefault="00822DE9" w:rsidP="001213AB">
            <w:pPr>
              <w:jc w:val="center"/>
              <w:rPr>
                <w:sz w:val="22"/>
              </w:rPr>
            </w:pPr>
            <w:r w:rsidRPr="00CF0BB7">
              <w:rPr>
                <w:sz w:val="22"/>
              </w:rPr>
              <w:t>(0,066)</w:t>
            </w:r>
          </w:p>
        </w:tc>
        <w:tc>
          <w:tcPr>
            <w:tcW w:w="1201" w:type="dxa"/>
          </w:tcPr>
          <w:p w:rsidR="00822DE9" w:rsidRPr="00CF0BB7" w:rsidRDefault="00822DE9" w:rsidP="001213AB">
            <w:pPr>
              <w:jc w:val="center"/>
              <w:rPr>
                <w:color w:val="000000"/>
                <w:sz w:val="22"/>
              </w:rPr>
            </w:pPr>
            <w:r w:rsidRPr="00CF0BB7">
              <w:rPr>
                <w:color w:val="000000"/>
                <w:sz w:val="22"/>
              </w:rPr>
              <w:t>-0</w:t>
            </w:r>
            <w:r>
              <w:rPr>
                <w:color w:val="000000"/>
                <w:sz w:val="22"/>
              </w:rPr>
              <w:t>,247</w:t>
            </w:r>
            <w:r w:rsidRPr="00CF0BB7">
              <w:rPr>
                <w:color w:val="000000"/>
                <w:sz w:val="22"/>
              </w:rPr>
              <w:t>**</w:t>
            </w:r>
          </w:p>
          <w:p w:rsidR="00822DE9" w:rsidRPr="00CF0BB7" w:rsidRDefault="00822DE9" w:rsidP="001213AB">
            <w:pPr>
              <w:jc w:val="center"/>
              <w:rPr>
                <w:sz w:val="22"/>
              </w:rPr>
            </w:pPr>
            <w:r w:rsidRPr="00CF0BB7">
              <w:rPr>
                <w:color w:val="000000"/>
                <w:sz w:val="22"/>
              </w:rPr>
              <w:t>(0,</w:t>
            </w:r>
            <w:r w:rsidR="00FD070D">
              <w:rPr>
                <w:color w:val="000000"/>
                <w:sz w:val="22"/>
              </w:rPr>
              <w:t>104</w:t>
            </w:r>
            <w:r w:rsidRPr="00CF0BB7">
              <w:rPr>
                <w:color w:val="000000"/>
                <w:sz w:val="22"/>
              </w:rPr>
              <w:t>)</w:t>
            </w:r>
          </w:p>
        </w:tc>
      </w:tr>
      <w:tr w:rsidR="00822DE9" w:rsidTr="00CF0BB7">
        <w:tc>
          <w:tcPr>
            <w:tcW w:w="2161" w:type="dxa"/>
            <w:vAlign w:val="center"/>
          </w:tcPr>
          <w:p w:rsidR="00822DE9" w:rsidRPr="009B07DE" w:rsidRDefault="00822DE9" w:rsidP="001213AB">
            <w:pPr>
              <w:rPr>
                <w:sz w:val="22"/>
                <w:lang w:val="mk-MK"/>
              </w:rPr>
            </w:pPr>
            <w:r w:rsidRPr="009B07DE">
              <w:rPr>
                <w:sz w:val="22"/>
                <w:lang w:val="mk-MK"/>
              </w:rPr>
              <w:t>ДАНОК</w:t>
            </w:r>
          </w:p>
        </w:tc>
        <w:tc>
          <w:tcPr>
            <w:tcW w:w="1366" w:type="dxa"/>
          </w:tcPr>
          <w:p w:rsidR="00822DE9" w:rsidRPr="00CF0BB7" w:rsidRDefault="00822DE9" w:rsidP="001213AB">
            <w:pPr>
              <w:jc w:val="center"/>
              <w:rPr>
                <w:sz w:val="22"/>
                <w:lang w:val="mk-MK"/>
              </w:rPr>
            </w:pPr>
            <w:r w:rsidRPr="00CF0BB7">
              <w:rPr>
                <w:sz w:val="22"/>
                <w:lang w:val="mk-MK"/>
              </w:rPr>
              <w:t>-0,1006</w:t>
            </w:r>
          </w:p>
          <w:p w:rsidR="00822DE9" w:rsidRPr="00CF0BB7" w:rsidRDefault="00822DE9" w:rsidP="001213AB">
            <w:pPr>
              <w:jc w:val="center"/>
              <w:rPr>
                <w:sz w:val="22"/>
                <w:lang w:val="mk-MK"/>
              </w:rPr>
            </w:pPr>
            <w:r w:rsidRPr="00CF0BB7">
              <w:rPr>
                <w:sz w:val="22"/>
                <w:lang w:val="mk-MK"/>
              </w:rPr>
              <w:t>(0,0638)</w:t>
            </w:r>
          </w:p>
        </w:tc>
        <w:tc>
          <w:tcPr>
            <w:tcW w:w="1164" w:type="dxa"/>
          </w:tcPr>
          <w:p w:rsidR="00822DE9" w:rsidRPr="00CF0BB7" w:rsidRDefault="00822DE9" w:rsidP="001213AB">
            <w:pPr>
              <w:jc w:val="center"/>
              <w:rPr>
                <w:sz w:val="22"/>
              </w:rPr>
            </w:pPr>
            <w:r w:rsidRPr="00CF0BB7">
              <w:rPr>
                <w:sz w:val="22"/>
              </w:rPr>
              <w:t>-0,157*</w:t>
            </w:r>
          </w:p>
          <w:p w:rsidR="00822DE9" w:rsidRPr="00CF0BB7" w:rsidRDefault="00822DE9" w:rsidP="001213AB">
            <w:pPr>
              <w:jc w:val="center"/>
              <w:rPr>
                <w:sz w:val="22"/>
              </w:rPr>
            </w:pPr>
            <w:r w:rsidRPr="00CF0BB7">
              <w:rPr>
                <w:sz w:val="22"/>
              </w:rPr>
              <w:t>(0,080)</w:t>
            </w:r>
          </w:p>
        </w:tc>
        <w:tc>
          <w:tcPr>
            <w:tcW w:w="1234" w:type="dxa"/>
          </w:tcPr>
          <w:p w:rsidR="00822DE9" w:rsidRPr="00CF0BB7" w:rsidRDefault="00822DE9" w:rsidP="001213AB">
            <w:pPr>
              <w:jc w:val="center"/>
              <w:rPr>
                <w:color w:val="000000"/>
                <w:sz w:val="22"/>
              </w:rPr>
            </w:pPr>
            <w:r w:rsidRPr="00CF0BB7">
              <w:rPr>
                <w:color w:val="000000"/>
                <w:sz w:val="22"/>
              </w:rPr>
              <w:t>-0</w:t>
            </w:r>
            <w:r>
              <w:rPr>
                <w:color w:val="000000"/>
                <w:sz w:val="22"/>
              </w:rPr>
              <w:t>,</w:t>
            </w:r>
            <w:r w:rsidRPr="00CF0BB7">
              <w:rPr>
                <w:color w:val="000000"/>
                <w:sz w:val="22"/>
              </w:rPr>
              <w:t>064</w:t>
            </w:r>
          </w:p>
          <w:p w:rsidR="00822DE9" w:rsidRPr="00CF0BB7" w:rsidRDefault="00822DE9" w:rsidP="001213AB">
            <w:pPr>
              <w:jc w:val="center"/>
              <w:rPr>
                <w:sz w:val="22"/>
              </w:rPr>
            </w:pPr>
            <w:r w:rsidRPr="00CF0BB7">
              <w:rPr>
                <w:color w:val="000000"/>
                <w:sz w:val="22"/>
              </w:rPr>
              <w:t>(0,107)</w:t>
            </w:r>
          </w:p>
        </w:tc>
        <w:tc>
          <w:tcPr>
            <w:tcW w:w="1338" w:type="dxa"/>
          </w:tcPr>
          <w:p w:rsidR="00822DE9" w:rsidRPr="00822DE9" w:rsidRDefault="00822DE9" w:rsidP="001213AB">
            <w:pPr>
              <w:jc w:val="center"/>
              <w:rPr>
                <w:sz w:val="22"/>
              </w:rPr>
            </w:pPr>
            <w:r w:rsidRPr="00CF0BB7">
              <w:rPr>
                <w:sz w:val="22"/>
                <w:lang w:val="mk-MK"/>
              </w:rPr>
              <w:t>-0,</w:t>
            </w:r>
            <w:r>
              <w:rPr>
                <w:sz w:val="22"/>
              </w:rPr>
              <w:t>074</w:t>
            </w:r>
          </w:p>
          <w:p w:rsidR="00822DE9" w:rsidRPr="00CF0BB7" w:rsidRDefault="00822DE9" w:rsidP="001213AB">
            <w:pPr>
              <w:jc w:val="center"/>
              <w:rPr>
                <w:sz w:val="22"/>
                <w:lang w:val="mk-MK"/>
              </w:rPr>
            </w:pPr>
            <w:r w:rsidRPr="00CF0BB7">
              <w:rPr>
                <w:sz w:val="22"/>
                <w:lang w:val="mk-MK"/>
              </w:rPr>
              <w:t>(0,063</w:t>
            </w:r>
            <w:r>
              <w:rPr>
                <w:sz w:val="22"/>
              </w:rPr>
              <w:t>5</w:t>
            </w:r>
            <w:r w:rsidRPr="00CF0BB7">
              <w:rPr>
                <w:sz w:val="22"/>
                <w:lang w:val="mk-MK"/>
              </w:rPr>
              <w:t>)</w:t>
            </w:r>
          </w:p>
        </w:tc>
        <w:tc>
          <w:tcPr>
            <w:tcW w:w="1112" w:type="dxa"/>
          </w:tcPr>
          <w:p w:rsidR="00822DE9" w:rsidRPr="00CF0BB7" w:rsidRDefault="00822DE9" w:rsidP="001213AB">
            <w:pPr>
              <w:jc w:val="center"/>
              <w:rPr>
                <w:sz w:val="22"/>
              </w:rPr>
            </w:pPr>
            <w:r w:rsidRPr="00CF0BB7">
              <w:rPr>
                <w:sz w:val="22"/>
              </w:rPr>
              <w:t>-0,1</w:t>
            </w:r>
            <w:r>
              <w:rPr>
                <w:sz w:val="22"/>
              </w:rPr>
              <w:t>43</w:t>
            </w:r>
            <w:r w:rsidRPr="00CF0BB7">
              <w:rPr>
                <w:sz w:val="22"/>
              </w:rPr>
              <w:t>*</w:t>
            </w:r>
          </w:p>
          <w:p w:rsidR="00822DE9" w:rsidRPr="00CF0BB7" w:rsidRDefault="00822DE9" w:rsidP="001213AB">
            <w:pPr>
              <w:jc w:val="center"/>
              <w:rPr>
                <w:sz w:val="22"/>
              </w:rPr>
            </w:pPr>
            <w:r w:rsidRPr="00CF0BB7">
              <w:rPr>
                <w:sz w:val="22"/>
              </w:rPr>
              <w:t>(0,0</w:t>
            </w:r>
            <w:r>
              <w:rPr>
                <w:sz w:val="22"/>
              </w:rPr>
              <w:t>77</w:t>
            </w:r>
            <w:r w:rsidRPr="00CF0BB7">
              <w:rPr>
                <w:sz w:val="22"/>
              </w:rPr>
              <w:t>)</w:t>
            </w:r>
          </w:p>
        </w:tc>
        <w:tc>
          <w:tcPr>
            <w:tcW w:w="1201" w:type="dxa"/>
          </w:tcPr>
          <w:p w:rsidR="00822DE9" w:rsidRPr="00CF0BB7" w:rsidRDefault="00822DE9" w:rsidP="001213AB">
            <w:pPr>
              <w:jc w:val="center"/>
              <w:rPr>
                <w:color w:val="000000"/>
                <w:sz w:val="22"/>
              </w:rPr>
            </w:pPr>
            <w:r w:rsidRPr="00CF0BB7">
              <w:rPr>
                <w:color w:val="000000"/>
                <w:sz w:val="22"/>
              </w:rPr>
              <w:t>-0</w:t>
            </w:r>
            <w:r>
              <w:rPr>
                <w:color w:val="000000"/>
                <w:sz w:val="22"/>
              </w:rPr>
              <w:t>,</w:t>
            </w:r>
            <w:r w:rsidRPr="00CF0BB7">
              <w:rPr>
                <w:color w:val="000000"/>
                <w:sz w:val="22"/>
              </w:rPr>
              <w:t>064</w:t>
            </w:r>
          </w:p>
          <w:p w:rsidR="00822DE9" w:rsidRPr="00CF0BB7" w:rsidRDefault="00822DE9" w:rsidP="001213AB">
            <w:pPr>
              <w:jc w:val="center"/>
              <w:rPr>
                <w:sz w:val="22"/>
              </w:rPr>
            </w:pPr>
            <w:r w:rsidRPr="00CF0BB7">
              <w:rPr>
                <w:color w:val="000000"/>
                <w:sz w:val="22"/>
              </w:rPr>
              <w:t>(0,</w:t>
            </w:r>
            <w:r w:rsidR="00FD070D">
              <w:rPr>
                <w:color w:val="000000"/>
                <w:sz w:val="22"/>
              </w:rPr>
              <w:t>080</w:t>
            </w:r>
            <w:r w:rsidRPr="00CF0BB7">
              <w:rPr>
                <w:color w:val="000000"/>
                <w:sz w:val="22"/>
              </w:rPr>
              <w:t>)</w:t>
            </w:r>
          </w:p>
        </w:tc>
      </w:tr>
      <w:tr w:rsidR="00822DE9" w:rsidTr="00CF0BB7">
        <w:tc>
          <w:tcPr>
            <w:tcW w:w="2161" w:type="dxa"/>
            <w:vAlign w:val="center"/>
          </w:tcPr>
          <w:p w:rsidR="00822DE9" w:rsidRPr="009B07DE" w:rsidRDefault="00822DE9" w:rsidP="001213AB">
            <w:pPr>
              <w:rPr>
                <w:sz w:val="22"/>
                <w:lang w:val="mk-MK"/>
              </w:rPr>
            </w:pPr>
            <w:r w:rsidRPr="009B07DE">
              <w:rPr>
                <w:sz w:val="22"/>
                <w:lang w:val="mk-MK"/>
              </w:rPr>
              <w:t>РАСТЕЖ</w:t>
            </w:r>
          </w:p>
        </w:tc>
        <w:tc>
          <w:tcPr>
            <w:tcW w:w="1366" w:type="dxa"/>
          </w:tcPr>
          <w:p w:rsidR="00822DE9" w:rsidRPr="00CF0BB7" w:rsidRDefault="00822DE9" w:rsidP="001213AB">
            <w:pPr>
              <w:jc w:val="center"/>
              <w:rPr>
                <w:sz w:val="22"/>
                <w:lang w:val="mk-MK"/>
              </w:rPr>
            </w:pPr>
            <w:r w:rsidRPr="00CF0BB7">
              <w:rPr>
                <w:sz w:val="22"/>
                <w:lang w:val="mk-MK"/>
              </w:rPr>
              <w:t>0,1774*</w:t>
            </w:r>
          </w:p>
          <w:p w:rsidR="00822DE9" w:rsidRPr="00CF0BB7" w:rsidRDefault="00822DE9" w:rsidP="001213AB">
            <w:pPr>
              <w:jc w:val="center"/>
              <w:rPr>
                <w:sz w:val="22"/>
                <w:lang w:val="mk-MK"/>
              </w:rPr>
            </w:pPr>
            <w:r w:rsidRPr="00CF0BB7">
              <w:rPr>
                <w:sz w:val="22"/>
                <w:lang w:val="mk-MK"/>
              </w:rPr>
              <w:t>(0,0667)</w:t>
            </w:r>
          </w:p>
        </w:tc>
        <w:tc>
          <w:tcPr>
            <w:tcW w:w="1164" w:type="dxa"/>
          </w:tcPr>
          <w:p w:rsidR="00822DE9" w:rsidRPr="00CF0BB7" w:rsidRDefault="00822DE9" w:rsidP="001213AB">
            <w:pPr>
              <w:jc w:val="center"/>
              <w:rPr>
                <w:sz w:val="22"/>
              </w:rPr>
            </w:pPr>
            <w:r w:rsidRPr="00CF0BB7">
              <w:rPr>
                <w:sz w:val="22"/>
              </w:rPr>
              <w:t>0,205***</w:t>
            </w:r>
          </w:p>
          <w:p w:rsidR="00822DE9" w:rsidRPr="00CF0BB7" w:rsidRDefault="00822DE9" w:rsidP="001213AB">
            <w:pPr>
              <w:jc w:val="center"/>
              <w:rPr>
                <w:sz w:val="22"/>
              </w:rPr>
            </w:pPr>
            <w:r w:rsidRPr="00CF0BB7">
              <w:rPr>
                <w:sz w:val="22"/>
              </w:rPr>
              <w:t>(0,083)</w:t>
            </w:r>
          </w:p>
        </w:tc>
        <w:tc>
          <w:tcPr>
            <w:tcW w:w="1234" w:type="dxa"/>
          </w:tcPr>
          <w:p w:rsidR="00822DE9" w:rsidRPr="00CF0BB7" w:rsidRDefault="00822DE9" w:rsidP="001213AB">
            <w:pPr>
              <w:jc w:val="center"/>
              <w:rPr>
                <w:color w:val="000000"/>
                <w:sz w:val="22"/>
              </w:rPr>
            </w:pPr>
            <w:r w:rsidRPr="00CF0BB7">
              <w:rPr>
                <w:color w:val="000000"/>
                <w:sz w:val="22"/>
              </w:rPr>
              <w:t>0</w:t>
            </w:r>
            <w:r>
              <w:rPr>
                <w:color w:val="000000"/>
                <w:sz w:val="22"/>
              </w:rPr>
              <w:t>,</w:t>
            </w:r>
            <w:r w:rsidRPr="00CF0BB7">
              <w:rPr>
                <w:color w:val="000000"/>
                <w:sz w:val="22"/>
              </w:rPr>
              <w:t>2306**</w:t>
            </w:r>
          </w:p>
          <w:p w:rsidR="00822DE9" w:rsidRPr="00CF0BB7" w:rsidRDefault="00822DE9" w:rsidP="001213AB">
            <w:pPr>
              <w:jc w:val="center"/>
              <w:rPr>
                <w:sz w:val="22"/>
              </w:rPr>
            </w:pPr>
            <w:r w:rsidRPr="00CF0BB7">
              <w:rPr>
                <w:color w:val="000000"/>
                <w:sz w:val="22"/>
              </w:rPr>
              <w:t>(0,112)</w:t>
            </w:r>
          </w:p>
        </w:tc>
        <w:tc>
          <w:tcPr>
            <w:tcW w:w="1338" w:type="dxa"/>
          </w:tcPr>
          <w:p w:rsidR="00822DE9" w:rsidRPr="00822DE9" w:rsidRDefault="00822DE9" w:rsidP="001213AB">
            <w:pPr>
              <w:jc w:val="center"/>
              <w:rPr>
                <w:sz w:val="22"/>
              </w:rPr>
            </w:pPr>
            <w:r w:rsidRPr="00CF0BB7">
              <w:rPr>
                <w:sz w:val="22"/>
                <w:lang w:val="mk-MK"/>
              </w:rPr>
              <w:t>0,1</w:t>
            </w:r>
            <w:r>
              <w:rPr>
                <w:sz w:val="22"/>
              </w:rPr>
              <w:t>48</w:t>
            </w:r>
            <w:r w:rsidRPr="00CF0BB7">
              <w:rPr>
                <w:sz w:val="22"/>
                <w:lang w:val="mk-MK"/>
              </w:rPr>
              <w:t>*</w:t>
            </w:r>
            <w:r>
              <w:rPr>
                <w:sz w:val="22"/>
              </w:rPr>
              <w:t>*</w:t>
            </w:r>
          </w:p>
          <w:p w:rsidR="00822DE9" w:rsidRPr="00CF0BB7" w:rsidRDefault="00822DE9" w:rsidP="001213AB">
            <w:pPr>
              <w:jc w:val="center"/>
              <w:rPr>
                <w:sz w:val="22"/>
                <w:lang w:val="mk-MK"/>
              </w:rPr>
            </w:pPr>
            <w:r w:rsidRPr="00CF0BB7">
              <w:rPr>
                <w:sz w:val="22"/>
                <w:lang w:val="mk-MK"/>
              </w:rPr>
              <w:t>(0,06</w:t>
            </w:r>
            <w:r>
              <w:rPr>
                <w:sz w:val="22"/>
              </w:rPr>
              <w:t>5</w:t>
            </w:r>
            <w:r w:rsidRPr="00CF0BB7">
              <w:rPr>
                <w:sz w:val="22"/>
                <w:lang w:val="mk-MK"/>
              </w:rPr>
              <w:t>)</w:t>
            </w:r>
          </w:p>
        </w:tc>
        <w:tc>
          <w:tcPr>
            <w:tcW w:w="1112" w:type="dxa"/>
          </w:tcPr>
          <w:p w:rsidR="00822DE9" w:rsidRPr="00CF0BB7" w:rsidRDefault="00822DE9" w:rsidP="001213AB">
            <w:pPr>
              <w:jc w:val="center"/>
              <w:rPr>
                <w:sz w:val="22"/>
              </w:rPr>
            </w:pPr>
            <w:r w:rsidRPr="00CF0BB7">
              <w:rPr>
                <w:sz w:val="22"/>
              </w:rPr>
              <w:t>0,2</w:t>
            </w:r>
            <w:r>
              <w:rPr>
                <w:sz w:val="22"/>
              </w:rPr>
              <w:t>29</w:t>
            </w:r>
            <w:r w:rsidRPr="00CF0BB7">
              <w:rPr>
                <w:sz w:val="22"/>
              </w:rPr>
              <w:t>***</w:t>
            </w:r>
          </w:p>
          <w:p w:rsidR="00822DE9" w:rsidRPr="00CF0BB7" w:rsidRDefault="00822DE9" w:rsidP="001213AB">
            <w:pPr>
              <w:jc w:val="center"/>
              <w:rPr>
                <w:sz w:val="22"/>
              </w:rPr>
            </w:pPr>
            <w:r w:rsidRPr="00CF0BB7">
              <w:rPr>
                <w:sz w:val="22"/>
              </w:rPr>
              <w:t>(0,08</w:t>
            </w:r>
            <w:r>
              <w:rPr>
                <w:sz w:val="22"/>
              </w:rPr>
              <w:t>0</w:t>
            </w:r>
            <w:r w:rsidRPr="00CF0BB7">
              <w:rPr>
                <w:sz w:val="22"/>
              </w:rPr>
              <w:t>)</w:t>
            </w:r>
          </w:p>
        </w:tc>
        <w:tc>
          <w:tcPr>
            <w:tcW w:w="1201" w:type="dxa"/>
          </w:tcPr>
          <w:p w:rsidR="00822DE9" w:rsidRPr="00CF0BB7" w:rsidRDefault="00822DE9" w:rsidP="001213AB">
            <w:pPr>
              <w:jc w:val="center"/>
              <w:rPr>
                <w:color w:val="000000"/>
                <w:sz w:val="22"/>
              </w:rPr>
            </w:pPr>
            <w:r w:rsidRPr="00CF0BB7">
              <w:rPr>
                <w:color w:val="000000"/>
                <w:sz w:val="22"/>
              </w:rPr>
              <w:t>0</w:t>
            </w:r>
            <w:r>
              <w:rPr>
                <w:color w:val="000000"/>
                <w:sz w:val="22"/>
              </w:rPr>
              <w:t>,</w:t>
            </w:r>
            <w:r w:rsidRPr="00CF0BB7">
              <w:rPr>
                <w:color w:val="000000"/>
                <w:sz w:val="22"/>
              </w:rPr>
              <w:t>2</w:t>
            </w:r>
            <w:r w:rsidR="00FD070D">
              <w:rPr>
                <w:color w:val="000000"/>
                <w:sz w:val="22"/>
              </w:rPr>
              <w:t>54</w:t>
            </w:r>
            <w:r w:rsidRPr="00CF0BB7">
              <w:rPr>
                <w:color w:val="000000"/>
                <w:sz w:val="22"/>
              </w:rPr>
              <w:t>**</w:t>
            </w:r>
            <w:r w:rsidR="00FD070D">
              <w:rPr>
                <w:color w:val="000000"/>
                <w:sz w:val="22"/>
              </w:rPr>
              <w:t>*</w:t>
            </w:r>
          </w:p>
          <w:p w:rsidR="00822DE9" w:rsidRPr="00CF0BB7" w:rsidRDefault="00822DE9" w:rsidP="001213AB">
            <w:pPr>
              <w:jc w:val="center"/>
              <w:rPr>
                <w:sz w:val="22"/>
              </w:rPr>
            </w:pPr>
            <w:r w:rsidRPr="00CF0BB7">
              <w:rPr>
                <w:color w:val="000000"/>
                <w:sz w:val="22"/>
              </w:rPr>
              <w:t>(0,</w:t>
            </w:r>
            <w:r w:rsidR="00FD070D">
              <w:rPr>
                <w:color w:val="000000"/>
                <w:sz w:val="22"/>
              </w:rPr>
              <w:t>084</w:t>
            </w:r>
            <w:r w:rsidRPr="00CF0BB7">
              <w:rPr>
                <w:color w:val="000000"/>
                <w:sz w:val="22"/>
              </w:rPr>
              <w:t>)</w:t>
            </w:r>
          </w:p>
        </w:tc>
      </w:tr>
      <w:tr w:rsidR="00822DE9" w:rsidTr="009B07DE">
        <w:tc>
          <w:tcPr>
            <w:tcW w:w="2161" w:type="dxa"/>
          </w:tcPr>
          <w:p w:rsidR="00822DE9" w:rsidRPr="009B07DE" w:rsidRDefault="00822DE9" w:rsidP="001213AB">
            <w:pPr>
              <w:jc w:val="both"/>
              <w:rPr>
                <w:sz w:val="22"/>
                <w:lang w:val="mk-MK"/>
              </w:rPr>
            </w:pPr>
            <w:r w:rsidRPr="009B07DE">
              <w:rPr>
                <w:sz w:val="22"/>
                <w:lang w:val="mk-MK"/>
              </w:rPr>
              <w:t>Број на опсервации</w:t>
            </w:r>
          </w:p>
        </w:tc>
        <w:tc>
          <w:tcPr>
            <w:tcW w:w="1366" w:type="dxa"/>
          </w:tcPr>
          <w:p w:rsidR="00822DE9" w:rsidRPr="00CF0BB7" w:rsidRDefault="00822DE9" w:rsidP="001213AB">
            <w:pPr>
              <w:jc w:val="center"/>
              <w:rPr>
                <w:sz w:val="22"/>
              </w:rPr>
            </w:pPr>
            <w:r w:rsidRPr="00CF0BB7">
              <w:rPr>
                <w:sz w:val="22"/>
              </w:rPr>
              <w:t>320</w:t>
            </w:r>
          </w:p>
        </w:tc>
        <w:tc>
          <w:tcPr>
            <w:tcW w:w="1164" w:type="dxa"/>
          </w:tcPr>
          <w:p w:rsidR="00822DE9" w:rsidRPr="00CF0BB7" w:rsidRDefault="00822DE9" w:rsidP="001213AB">
            <w:pPr>
              <w:jc w:val="center"/>
              <w:rPr>
                <w:sz w:val="22"/>
              </w:rPr>
            </w:pPr>
            <w:r w:rsidRPr="00CF0BB7">
              <w:rPr>
                <w:sz w:val="22"/>
              </w:rPr>
              <w:t>320</w:t>
            </w:r>
          </w:p>
        </w:tc>
        <w:tc>
          <w:tcPr>
            <w:tcW w:w="1234" w:type="dxa"/>
          </w:tcPr>
          <w:p w:rsidR="00822DE9" w:rsidRPr="00CF0BB7" w:rsidRDefault="00822DE9" w:rsidP="001213AB">
            <w:pPr>
              <w:jc w:val="center"/>
              <w:rPr>
                <w:sz w:val="22"/>
              </w:rPr>
            </w:pPr>
            <w:r>
              <w:rPr>
                <w:sz w:val="22"/>
              </w:rPr>
              <w:t>320</w:t>
            </w:r>
          </w:p>
        </w:tc>
        <w:tc>
          <w:tcPr>
            <w:tcW w:w="1338" w:type="dxa"/>
          </w:tcPr>
          <w:p w:rsidR="00822DE9" w:rsidRPr="00CF0BB7" w:rsidRDefault="00822DE9" w:rsidP="001213AB">
            <w:pPr>
              <w:jc w:val="center"/>
              <w:rPr>
                <w:sz w:val="22"/>
              </w:rPr>
            </w:pPr>
            <w:r>
              <w:rPr>
                <w:sz w:val="22"/>
              </w:rPr>
              <w:t>290</w:t>
            </w:r>
          </w:p>
        </w:tc>
        <w:tc>
          <w:tcPr>
            <w:tcW w:w="1112" w:type="dxa"/>
          </w:tcPr>
          <w:p w:rsidR="00822DE9" w:rsidRPr="00CF0BB7" w:rsidRDefault="00822DE9" w:rsidP="001213AB">
            <w:pPr>
              <w:jc w:val="center"/>
              <w:rPr>
                <w:sz w:val="22"/>
              </w:rPr>
            </w:pPr>
            <w:r>
              <w:rPr>
                <w:sz w:val="22"/>
              </w:rPr>
              <w:t>290</w:t>
            </w:r>
          </w:p>
        </w:tc>
        <w:tc>
          <w:tcPr>
            <w:tcW w:w="1201" w:type="dxa"/>
          </w:tcPr>
          <w:p w:rsidR="00822DE9" w:rsidRPr="00CF0BB7" w:rsidRDefault="00822DE9" w:rsidP="001213AB">
            <w:pPr>
              <w:jc w:val="center"/>
              <w:rPr>
                <w:sz w:val="22"/>
              </w:rPr>
            </w:pPr>
            <w:r>
              <w:rPr>
                <w:sz w:val="22"/>
              </w:rPr>
              <w:t>290</w:t>
            </w:r>
          </w:p>
        </w:tc>
      </w:tr>
      <w:tr w:rsidR="00822DE9" w:rsidTr="009B07DE">
        <w:tc>
          <w:tcPr>
            <w:tcW w:w="2161" w:type="dxa"/>
          </w:tcPr>
          <w:p w:rsidR="00822DE9" w:rsidRPr="009B07DE" w:rsidRDefault="00822DE9" w:rsidP="001213AB">
            <w:pPr>
              <w:jc w:val="both"/>
              <w:rPr>
                <w:sz w:val="22"/>
              </w:rPr>
            </w:pPr>
            <w:r w:rsidRPr="009B07DE">
              <w:rPr>
                <w:sz w:val="22"/>
                <w:lang w:val="mk-MK"/>
              </w:rPr>
              <w:t xml:space="preserve">Прилагоден </w:t>
            </w:r>
            <w:r w:rsidRPr="009B07DE">
              <w:rPr>
                <w:sz w:val="22"/>
              </w:rPr>
              <w:t>R</w:t>
            </w:r>
            <w:r w:rsidRPr="009B07DE">
              <w:rPr>
                <w:sz w:val="22"/>
                <w:vertAlign w:val="superscript"/>
              </w:rPr>
              <w:t>2</w:t>
            </w:r>
          </w:p>
        </w:tc>
        <w:tc>
          <w:tcPr>
            <w:tcW w:w="1366" w:type="dxa"/>
          </w:tcPr>
          <w:p w:rsidR="00822DE9" w:rsidRPr="00CF0BB7" w:rsidRDefault="00822DE9" w:rsidP="001213AB">
            <w:pPr>
              <w:jc w:val="center"/>
              <w:rPr>
                <w:sz w:val="22"/>
              </w:rPr>
            </w:pPr>
            <w:r w:rsidRPr="00CF0BB7">
              <w:rPr>
                <w:sz w:val="22"/>
              </w:rPr>
              <w:t>0,62</w:t>
            </w:r>
          </w:p>
        </w:tc>
        <w:tc>
          <w:tcPr>
            <w:tcW w:w="1164" w:type="dxa"/>
          </w:tcPr>
          <w:p w:rsidR="00822DE9" w:rsidRPr="00CF0BB7" w:rsidRDefault="00822DE9" w:rsidP="001213AB">
            <w:pPr>
              <w:jc w:val="center"/>
              <w:rPr>
                <w:sz w:val="22"/>
              </w:rPr>
            </w:pPr>
            <w:r w:rsidRPr="00CF0BB7">
              <w:rPr>
                <w:sz w:val="22"/>
              </w:rPr>
              <w:t>0,08</w:t>
            </w:r>
          </w:p>
        </w:tc>
        <w:tc>
          <w:tcPr>
            <w:tcW w:w="1234" w:type="dxa"/>
          </w:tcPr>
          <w:p w:rsidR="00822DE9" w:rsidRPr="00CF0BB7" w:rsidRDefault="00822DE9" w:rsidP="001213AB">
            <w:pPr>
              <w:jc w:val="center"/>
              <w:rPr>
                <w:sz w:val="22"/>
              </w:rPr>
            </w:pPr>
            <w:r>
              <w:rPr>
                <w:sz w:val="22"/>
              </w:rPr>
              <w:t>0,25</w:t>
            </w:r>
          </w:p>
        </w:tc>
        <w:tc>
          <w:tcPr>
            <w:tcW w:w="1338" w:type="dxa"/>
          </w:tcPr>
          <w:p w:rsidR="00822DE9" w:rsidRPr="00CF0BB7" w:rsidRDefault="00822DE9" w:rsidP="001213AB">
            <w:pPr>
              <w:jc w:val="center"/>
              <w:rPr>
                <w:sz w:val="22"/>
              </w:rPr>
            </w:pPr>
            <w:r w:rsidRPr="00CF0BB7">
              <w:rPr>
                <w:sz w:val="22"/>
              </w:rPr>
              <w:t>0,62</w:t>
            </w:r>
          </w:p>
        </w:tc>
        <w:tc>
          <w:tcPr>
            <w:tcW w:w="1112" w:type="dxa"/>
          </w:tcPr>
          <w:p w:rsidR="00822DE9" w:rsidRPr="00CF0BB7" w:rsidRDefault="00822DE9" w:rsidP="001213AB">
            <w:pPr>
              <w:jc w:val="center"/>
              <w:rPr>
                <w:sz w:val="22"/>
              </w:rPr>
            </w:pPr>
            <w:r w:rsidRPr="00CF0BB7">
              <w:rPr>
                <w:sz w:val="22"/>
              </w:rPr>
              <w:t>0,0</w:t>
            </w:r>
            <w:r>
              <w:rPr>
                <w:sz w:val="22"/>
              </w:rPr>
              <w:t>5</w:t>
            </w:r>
          </w:p>
        </w:tc>
        <w:tc>
          <w:tcPr>
            <w:tcW w:w="1201" w:type="dxa"/>
          </w:tcPr>
          <w:p w:rsidR="00822DE9" w:rsidRPr="00CF0BB7" w:rsidRDefault="00822DE9" w:rsidP="001213AB">
            <w:pPr>
              <w:jc w:val="center"/>
              <w:rPr>
                <w:sz w:val="22"/>
              </w:rPr>
            </w:pPr>
            <w:r>
              <w:rPr>
                <w:sz w:val="22"/>
              </w:rPr>
              <w:t>0,</w:t>
            </w:r>
            <w:r w:rsidR="00FD070D">
              <w:rPr>
                <w:sz w:val="22"/>
              </w:rPr>
              <w:t>07</w:t>
            </w:r>
          </w:p>
        </w:tc>
      </w:tr>
      <w:tr w:rsidR="00822DE9" w:rsidTr="009B07DE">
        <w:tc>
          <w:tcPr>
            <w:tcW w:w="2161" w:type="dxa"/>
          </w:tcPr>
          <w:p w:rsidR="00822DE9" w:rsidRPr="009B07DE" w:rsidRDefault="00822DE9" w:rsidP="001213AB">
            <w:pPr>
              <w:jc w:val="both"/>
              <w:rPr>
                <w:sz w:val="22"/>
              </w:rPr>
            </w:pPr>
            <w:r w:rsidRPr="009B07DE">
              <w:rPr>
                <w:sz w:val="22"/>
                <w:lang w:val="mk-MK"/>
              </w:rPr>
              <w:t>Веројатност (</w:t>
            </w:r>
            <w:r w:rsidRPr="009B07DE">
              <w:rPr>
                <w:sz w:val="22"/>
              </w:rPr>
              <w:t>F-stat)</w:t>
            </w:r>
          </w:p>
        </w:tc>
        <w:tc>
          <w:tcPr>
            <w:tcW w:w="1366" w:type="dxa"/>
          </w:tcPr>
          <w:p w:rsidR="00822DE9" w:rsidRPr="00CF0BB7" w:rsidRDefault="00822DE9" w:rsidP="001213AB">
            <w:pPr>
              <w:jc w:val="center"/>
              <w:rPr>
                <w:sz w:val="22"/>
              </w:rPr>
            </w:pPr>
            <w:r w:rsidRPr="00CF0BB7">
              <w:rPr>
                <w:sz w:val="22"/>
              </w:rPr>
              <w:t>0,000</w:t>
            </w:r>
          </w:p>
        </w:tc>
        <w:tc>
          <w:tcPr>
            <w:tcW w:w="1164" w:type="dxa"/>
          </w:tcPr>
          <w:p w:rsidR="00822DE9" w:rsidRPr="00CF0BB7" w:rsidRDefault="00822DE9" w:rsidP="001213AB">
            <w:pPr>
              <w:jc w:val="center"/>
              <w:rPr>
                <w:sz w:val="22"/>
              </w:rPr>
            </w:pPr>
            <w:r w:rsidRPr="00CF0BB7">
              <w:rPr>
                <w:sz w:val="22"/>
              </w:rPr>
              <w:t>0,000</w:t>
            </w:r>
          </w:p>
        </w:tc>
        <w:tc>
          <w:tcPr>
            <w:tcW w:w="1234" w:type="dxa"/>
          </w:tcPr>
          <w:p w:rsidR="00822DE9" w:rsidRPr="00CF0BB7" w:rsidRDefault="00822DE9" w:rsidP="001213AB">
            <w:pPr>
              <w:jc w:val="center"/>
              <w:rPr>
                <w:sz w:val="22"/>
              </w:rPr>
            </w:pPr>
            <w:r>
              <w:rPr>
                <w:sz w:val="22"/>
              </w:rPr>
              <w:t>0,00</w:t>
            </w:r>
          </w:p>
        </w:tc>
        <w:tc>
          <w:tcPr>
            <w:tcW w:w="1338" w:type="dxa"/>
          </w:tcPr>
          <w:p w:rsidR="00822DE9" w:rsidRPr="00CF0BB7" w:rsidRDefault="00822DE9" w:rsidP="001213AB">
            <w:pPr>
              <w:jc w:val="center"/>
              <w:rPr>
                <w:sz w:val="22"/>
              </w:rPr>
            </w:pPr>
            <w:r w:rsidRPr="00CF0BB7">
              <w:rPr>
                <w:sz w:val="22"/>
              </w:rPr>
              <w:t>0,000</w:t>
            </w:r>
          </w:p>
        </w:tc>
        <w:tc>
          <w:tcPr>
            <w:tcW w:w="1112" w:type="dxa"/>
          </w:tcPr>
          <w:p w:rsidR="00822DE9" w:rsidRPr="00CF0BB7" w:rsidRDefault="00822DE9" w:rsidP="001213AB">
            <w:pPr>
              <w:jc w:val="center"/>
              <w:rPr>
                <w:sz w:val="22"/>
              </w:rPr>
            </w:pPr>
            <w:r w:rsidRPr="00CF0BB7">
              <w:rPr>
                <w:sz w:val="22"/>
              </w:rPr>
              <w:t>0,000</w:t>
            </w:r>
          </w:p>
        </w:tc>
        <w:tc>
          <w:tcPr>
            <w:tcW w:w="1201" w:type="dxa"/>
          </w:tcPr>
          <w:p w:rsidR="00822DE9" w:rsidRPr="00CF0BB7" w:rsidRDefault="00822DE9" w:rsidP="001213AB">
            <w:pPr>
              <w:jc w:val="center"/>
              <w:rPr>
                <w:sz w:val="22"/>
              </w:rPr>
            </w:pPr>
            <w:r>
              <w:rPr>
                <w:sz w:val="22"/>
              </w:rPr>
              <w:t>0,00</w:t>
            </w:r>
          </w:p>
        </w:tc>
      </w:tr>
      <w:tr w:rsidR="00822DE9" w:rsidTr="00CF0BB7">
        <w:tc>
          <w:tcPr>
            <w:tcW w:w="2161" w:type="dxa"/>
          </w:tcPr>
          <w:p w:rsidR="00822DE9" w:rsidRPr="009B07DE" w:rsidRDefault="00822DE9" w:rsidP="001213AB">
            <w:pPr>
              <w:jc w:val="both"/>
              <w:rPr>
                <w:sz w:val="22"/>
                <w:lang w:val="mk-MK"/>
              </w:rPr>
            </w:pPr>
            <w:r w:rsidRPr="009B07DE">
              <w:rPr>
                <w:sz w:val="22"/>
                <w:lang w:val="mk-MK"/>
              </w:rPr>
              <w:t>Фиксни/случајни ефекти</w:t>
            </w:r>
          </w:p>
        </w:tc>
        <w:tc>
          <w:tcPr>
            <w:tcW w:w="1366" w:type="dxa"/>
            <w:vAlign w:val="center"/>
          </w:tcPr>
          <w:p w:rsidR="00822DE9" w:rsidRPr="00CF0BB7" w:rsidRDefault="00822DE9" w:rsidP="001213AB">
            <w:pPr>
              <w:jc w:val="center"/>
              <w:rPr>
                <w:sz w:val="22"/>
                <w:lang w:val="mk-MK"/>
              </w:rPr>
            </w:pPr>
            <w:r w:rsidRPr="00CF0BB7">
              <w:rPr>
                <w:sz w:val="22"/>
                <w:lang w:val="mk-MK"/>
              </w:rPr>
              <w:t>Ф</w:t>
            </w:r>
          </w:p>
        </w:tc>
        <w:tc>
          <w:tcPr>
            <w:tcW w:w="1164" w:type="dxa"/>
            <w:vAlign w:val="center"/>
          </w:tcPr>
          <w:p w:rsidR="00822DE9" w:rsidRPr="00CF0BB7" w:rsidRDefault="00822DE9" w:rsidP="001213AB">
            <w:pPr>
              <w:jc w:val="center"/>
              <w:rPr>
                <w:sz w:val="22"/>
                <w:lang w:val="mk-MK"/>
              </w:rPr>
            </w:pPr>
            <w:r w:rsidRPr="00CF0BB7">
              <w:rPr>
                <w:sz w:val="22"/>
                <w:lang w:val="mk-MK"/>
              </w:rPr>
              <w:t>С</w:t>
            </w:r>
          </w:p>
        </w:tc>
        <w:tc>
          <w:tcPr>
            <w:tcW w:w="1234" w:type="dxa"/>
            <w:vAlign w:val="center"/>
          </w:tcPr>
          <w:p w:rsidR="00822DE9" w:rsidRPr="00CF0BB7" w:rsidRDefault="00822DE9" w:rsidP="001213AB">
            <w:pPr>
              <w:jc w:val="center"/>
              <w:rPr>
                <w:sz w:val="22"/>
                <w:lang w:val="mk-MK"/>
              </w:rPr>
            </w:pPr>
            <w:r>
              <w:rPr>
                <w:sz w:val="22"/>
                <w:lang w:val="mk-MK"/>
              </w:rPr>
              <w:t>С</w:t>
            </w:r>
          </w:p>
        </w:tc>
        <w:tc>
          <w:tcPr>
            <w:tcW w:w="1338" w:type="dxa"/>
            <w:vAlign w:val="center"/>
          </w:tcPr>
          <w:p w:rsidR="00822DE9" w:rsidRPr="00CF0BB7" w:rsidRDefault="00822DE9" w:rsidP="001213AB">
            <w:pPr>
              <w:jc w:val="center"/>
              <w:rPr>
                <w:sz w:val="22"/>
                <w:lang w:val="mk-MK"/>
              </w:rPr>
            </w:pPr>
            <w:r w:rsidRPr="00CF0BB7">
              <w:rPr>
                <w:sz w:val="22"/>
                <w:lang w:val="mk-MK"/>
              </w:rPr>
              <w:t>Ф</w:t>
            </w:r>
          </w:p>
        </w:tc>
        <w:tc>
          <w:tcPr>
            <w:tcW w:w="1112" w:type="dxa"/>
            <w:vAlign w:val="center"/>
          </w:tcPr>
          <w:p w:rsidR="00822DE9" w:rsidRPr="00CF0BB7" w:rsidRDefault="00822DE9" w:rsidP="001213AB">
            <w:pPr>
              <w:jc w:val="center"/>
              <w:rPr>
                <w:sz w:val="22"/>
                <w:lang w:val="mk-MK"/>
              </w:rPr>
            </w:pPr>
            <w:r w:rsidRPr="00CF0BB7">
              <w:rPr>
                <w:sz w:val="22"/>
                <w:lang w:val="mk-MK"/>
              </w:rPr>
              <w:t>С</w:t>
            </w:r>
          </w:p>
        </w:tc>
        <w:tc>
          <w:tcPr>
            <w:tcW w:w="1201" w:type="dxa"/>
            <w:vAlign w:val="center"/>
          </w:tcPr>
          <w:p w:rsidR="00822DE9" w:rsidRPr="00CF0BB7" w:rsidRDefault="00822DE9" w:rsidP="001213AB">
            <w:pPr>
              <w:jc w:val="center"/>
              <w:rPr>
                <w:sz w:val="22"/>
                <w:lang w:val="mk-MK"/>
              </w:rPr>
            </w:pPr>
            <w:r>
              <w:rPr>
                <w:sz w:val="22"/>
                <w:lang w:val="mk-MK"/>
              </w:rPr>
              <w:t>С</w:t>
            </w:r>
          </w:p>
        </w:tc>
      </w:tr>
    </w:tbl>
    <w:p w:rsidR="00DF15FD" w:rsidRDefault="00DF15FD" w:rsidP="001213AB">
      <w:pPr>
        <w:spacing w:line="276" w:lineRule="auto"/>
        <w:jc w:val="both"/>
        <w:rPr>
          <w:lang w:val="mk-MK"/>
        </w:rPr>
      </w:pPr>
    </w:p>
    <w:p w:rsidR="00FD070D" w:rsidRDefault="00FD070D" w:rsidP="001213AB">
      <w:pPr>
        <w:spacing w:line="276" w:lineRule="auto"/>
        <w:jc w:val="both"/>
        <w:rPr>
          <w:lang w:val="mk-MK"/>
        </w:rPr>
      </w:pPr>
      <w:r>
        <w:rPr>
          <w:lang w:val="mk-MK"/>
        </w:rPr>
        <w:tab/>
        <w:t xml:space="preserve">Од реултатите можат да се извлечат неколку заклучоци. Според </w:t>
      </w:r>
      <w:r w:rsidRPr="00FB76C6">
        <w:rPr>
          <w:i/>
          <w:sz w:val="22"/>
        </w:rPr>
        <w:t>R</w:t>
      </w:r>
      <w:r w:rsidRPr="00FB76C6">
        <w:rPr>
          <w:i/>
          <w:sz w:val="22"/>
          <w:vertAlign w:val="superscript"/>
        </w:rPr>
        <w:t>2</w:t>
      </w:r>
      <w:r>
        <w:rPr>
          <w:sz w:val="22"/>
          <w:vertAlign w:val="superscript"/>
          <w:lang w:val="mk-MK"/>
        </w:rPr>
        <w:t xml:space="preserve"> </w:t>
      </w:r>
      <w:r>
        <w:rPr>
          <w:lang w:val="mk-MK"/>
        </w:rPr>
        <w:t xml:space="preserve">коефициентот, најрелевантни се моделите во кои ја анализираме долгорочната задолженост. Дури и независно од тоа, очигледно е дека големината на компаниите влијае позитивно на нивната задолженост, што потврдува дека веројатно постои одредена неформална врска меѓу компаниите и банките, така што поголемите компании полесно доаѓаат до кредити. Профитабилноста влијае негативно врз задолженоста, што значи дека компаниите што остваруваат повисоки добивки помалку користат кредити. Тоа е во прилог на теоријата на хиерархија, односно редослед во финансирањето. Во тој правец оди и негативниот знак, односно несигнификантноста на данокот, </w:t>
      </w:r>
      <w:r>
        <w:rPr>
          <w:lang w:val="mk-MK"/>
        </w:rPr>
        <w:lastRenderedPageBreak/>
        <w:t>односно даночниот штит, како и фактот дека компаниите што повеќе инвестираат се позадолжени (</w:t>
      </w:r>
      <w:r w:rsidRPr="00FB76C6">
        <w:rPr>
          <w:i/>
          <w:lang w:val="mk-MK"/>
        </w:rPr>
        <w:t>РАСТЕЖ</w:t>
      </w:r>
      <w:r>
        <w:rPr>
          <w:lang w:val="mk-MK"/>
        </w:rPr>
        <w:t>). Материјалноста на средствата, според резултатите</w:t>
      </w:r>
      <w:r w:rsidR="00FB76C6">
        <w:rPr>
          <w:lang w:val="mk-MK"/>
        </w:rPr>
        <w:t>,</w:t>
      </w:r>
      <w:r>
        <w:rPr>
          <w:lang w:val="mk-MK"/>
        </w:rPr>
        <w:t xml:space="preserve"> не игра улога во степенот на задолженост.</w:t>
      </w:r>
    </w:p>
    <w:p w:rsidR="002A0046" w:rsidRDefault="00FB76C6" w:rsidP="001213AB">
      <w:pPr>
        <w:spacing w:line="276" w:lineRule="auto"/>
        <w:jc w:val="both"/>
        <w:rPr>
          <w:szCs w:val="24"/>
        </w:rPr>
      </w:pPr>
      <w:r>
        <w:rPr>
          <w:lang w:val="mk-MK"/>
        </w:rPr>
        <w:tab/>
        <w:t>Според тоа, македонските компании применуваат една варијанта на теоријата на хиерархија, односно зза потребите на инвестирањето најпрво ги користат сопствените средства, доколку имаат потреба од повисок износ, прибегнуваат кон задолжување, а само по исклучок, во крајна нужда, би прибегнале кон емисија на акции. Знаејќи дека нашите компании јавно не емитувале корпоративни обврзници, задолжувањето кое беше споменато, исклучиво се однесува на користење банкарски кредити. Овие резултати не се изненадување, затоа што и во бр</w:t>
      </w:r>
      <w:r w:rsidR="002A0046">
        <w:rPr>
          <w:lang w:val="mk-MK"/>
        </w:rPr>
        <w:t xml:space="preserve"> </w:t>
      </w:r>
      <w:r>
        <w:rPr>
          <w:lang w:val="mk-MK"/>
        </w:rPr>
        <w:t xml:space="preserve">ојни други студии на земјите во транзиција се потврдува примената токму на оваа теорија за структурата на </w:t>
      </w:r>
      <w:r w:rsidRPr="002A0046">
        <w:rPr>
          <w:szCs w:val="24"/>
          <w:lang w:val="mk-MK"/>
        </w:rPr>
        <w:t>капиталот</w:t>
      </w:r>
      <w:r w:rsidR="002A0046" w:rsidRPr="002A0046">
        <w:rPr>
          <w:szCs w:val="24"/>
          <w:lang w:val="mk-MK"/>
        </w:rPr>
        <w:t xml:space="preserve"> (</w:t>
      </w:r>
      <w:r w:rsidR="002A0046" w:rsidRPr="002A0046">
        <w:rPr>
          <w:szCs w:val="24"/>
        </w:rPr>
        <w:t xml:space="preserve">Gonenc, 2003; Bauer, 2004; </w:t>
      </w:r>
      <w:r w:rsidR="002A0046" w:rsidRPr="002A0046">
        <w:rPr>
          <w:rFonts w:ascii="Times New Roman CYR" w:hAnsi="Times New Roman CYR" w:cs="Times New Roman CYR"/>
          <w:szCs w:val="24"/>
          <w:lang w:eastAsia="en-GB"/>
        </w:rPr>
        <w:t>Č</w:t>
      </w:r>
      <w:r w:rsidR="002A0046" w:rsidRPr="002A0046">
        <w:rPr>
          <w:szCs w:val="24"/>
        </w:rPr>
        <w:t>rnigoj, Mramor, 2009; Jõeveer, 2013).</w:t>
      </w:r>
    </w:p>
    <w:p w:rsidR="002A0046" w:rsidRDefault="002A0046" w:rsidP="001213AB">
      <w:pPr>
        <w:spacing w:line="276" w:lineRule="auto"/>
        <w:jc w:val="both"/>
        <w:rPr>
          <w:szCs w:val="24"/>
        </w:rPr>
      </w:pPr>
    </w:p>
    <w:p w:rsidR="002A0046" w:rsidRDefault="002A0046" w:rsidP="001213AB">
      <w:pPr>
        <w:spacing w:line="276" w:lineRule="auto"/>
        <w:jc w:val="both"/>
        <w:rPr>
          <w:szCs w:val="24"/>
          <w:lang w:val="mk-MK"/>
        </w:rPr>
      </w:pPr>
      <w:r>
        <w:rPr>
          <w:szCs w:val="24"/>
        </w:rPr>
        <w:tab/>
      </w:r>
      <w:r>
        <w:rPr>
          <w:szCs w:val="24"/>
          <w:lang w:val="mk-MK"/>
        </w:rPr>
        <w:t>б) Инвестицската политика на компаниите</w:t>
      </w:r>
    </w:p>
    <w:p w:rsidR="002A0046" w:rsidRDefault="002A0046" w:rsidP="001213AB">
      <w:pPr>
        <w:spacing w:line="276" w:lineRule="auto"/>
        <w:jc w:val="both"/>
        <w:rPr>
          <w:szCs w:val="24"/>
          <w:lang w:val="mk-MK"/>
        </w:rPr>
      </w:pPr>
    </w:p>
    <w:p w:rsidR="002A0046" w:rsidRDefault="002A0046" w:rsidP="001213AB">
      <w:pPr>
        <w:spacing w:line="276" w:lineRule="auto"/>
        <w:jc w:val="both"/>
        <w:rPr>
          <w:szCs w:val="24"/>
          <w:lang w:val="mk-MK"/>
        </w:rPr>
      </w:pPr>
      <w:r>
        <w:rPr>
          <w:szCs w:val="24"/>
          <w:lang w:val="mk-MK"/>
        </w:rPr>
        <w:tab/>
        <w:t>Друга компонента на финансискиот менаџмент на компаниите претставува одлучувањето во поглед на долгорочните вложувања, односно инвестирањето на расположливите средства. За да расте компанијата, неопходно е таа да реализира инвестициски проекти, но то мора да биде согласно востановените принципи на инвестирањето, а тоа значи реализација само на проектите кои ја зголемуваат вредноста на компанијата. Процесот на инвестирање е комплексен и подразбира: генерирање идеи, анализа на идеите и изработка на физибилити студии, реализација на проектите и нивно ставање во употреба.</w:t>
      </w:r>
    </w:p>
    <w:p w:rsidR="002A0046" w:rsidRDefault="002A0046" w:rsidP="001213AB">
      <w:pPr>
        <w:spacing w:line="276" w:lineRule="auto"/>
        <w:jc w:val="both"/>
        <w:rPr>
          <w:szCs w:val="24"/>
          <w:lang w:val="mk-MK"/>
        </w:rPr>
      </w:pPr>
      <w:r>
        <w:rPr>
          <w:szCs w:val="24"/>
          <w:lang w:val="mk-MK"/>
        </w:rPr>
        <w:tab/>
        <w:t>Со цел да се реализираат проектите, покрај другото, неопходно е да се обезбедат потребните финансиски средства. Претходно го видовме образецот на однесување на македонските компании во поглед на финансирањето. На ова место сакаме да го проанализираме степенот на нивната инвестициска активност, наспроти расположливите извори на финансирање. Тоа значи дека наместо макроекономските податоци, како бруто-инвестиционата стапка, ќе се послужиме со истиот примерок од компании и нивните микро-податоци.</w:t>
      </w:r>
    </w:p>
    <w:p w:rsidR="002A0046" w:rsidRDefault="002A0046" w:rsidP="001213AB">
      <w:pPr>
        <w:spacing w:line="276" w:lineRule="auto"/>
        <w:jc w:val="both"/>
        <w:rPr>
          <w:szCs w:val="24"/>
        </w:rPr>
      </w:pPr>
      <w:r>
        <w:rPr>
          <w:szCs w:val="24"/>
          <w:lang w:val="mk-MK"/>
        </w:rPr>
        <w:tab/>
        <w:t xml:space="preserve">Податокот за вкупните инвестиции по години го имаме. </w:t>
      </w:r>
      <w:r w:rsidR="006B5F20">
        <w:rPr>
          <w:szCs w:val="24"/>
          <w:lang w:val="mk-MK"/>
        </w:rPr>
        <w:t>Истиот ќе го споредиме со податокот за готовинските текови од оперативни активности за секоја компанија. Готовин</w:t>
      </w:r>
      <w:r w:rsidR="00CD2FB2">
        <w:rPr>
          <w:szCs w:val="24"/>
          <w:lang w:val="mk-MK"/>
        </w:rPr>
        <w:t>с</w:t>
      </w:r>
      <w:r w:rsidR="006B5F20">
        <w:rPr>
          <w:szCs w:val="24"/>
          <w:lang w:val="mk-MK"/>
        </w:rPr>
        <w:t>ките текови од оперативни активности (ГТО) претставуваат износ на готови пари кој компанијата го генерира од своето работење. Овие средства можат да се употребат за инвестирање и за враќање на претходно земените кредити. Тоа е подобар показател за оваа намена од добивката, бидејќи добивката не ни дава претстава за остварените готовински приливи и не може директно да се користи за инвестирање.</w:t>
      </w:r>
    </w:p>
    <w:p w:rsidR="0001395B" w:rsidRDefault="0001395B" w:rsidP="001213AB">
      <w:pPr>
        <w:spacing w:line="276" w:lineRule="auto"/>
        <w:jc w:val="both"/>
        <w:rPr>
          <w:szCs w:val="24"/>
          <w:lang w:val="mk-MK"/>
        </w:rPr>
      </w:pPr>
      <w:r>
        <w:rPr>
          <w:szCs w:val="24"/>
        </w:rPr>
        <w:tab/>
      </w:r>
      <w:r>
        <w:rPr>
          <w:szCs w:val="24"/>
          <w:lang w:val="mk-MK"/>
        </w:rPr>
        <w:t>Резултатите покажуваат дека во скратениот примерок од 29 компании, кај</w:t>
      </w:r>
      <w:r w:rsidR="00CD2FB2">
        <w:rPr>
          <w:szCs w:val="24"/>
          <w:lang w:val="mk-MK"/>
        </w:rPr>
        <w:t xml:space="preserve"> 11 од нив разликата вкупни ГТО во текот на 11 години минус вкупни инвестиции е негативна, додека кај 18 е позитивна. Позитивната ралика значи дека овие компании создале повеќе готовина од оперативното работење отколку што инвестирале долгорочно. Само по себе, тоа е неповолен заклучок, но треба да видиме и колку од нив вишокот готовина го искористиле за отплата на долгови. Од овие 18 компании, во текот на овој период, намален вкупен долг има кај 9, што </w:t>
      </w:r>
      <w:r w:rsidR="0099037B">
        <w:rPr>
          <w:szCs w:val="24"/>
          <w:lang w:val="mk-MK"/>
        </w:rPr>
        <w:t>з</w:t>
      </w:r>
      <w:r w:rsidR="00CD2FB2">
        <w:rPr>
          <w:szCs w:val="24"/>
          <w:lang w:val="mk-MK"/>
        </w:rPr>
        <w:t>начи дека една половина од компаниите што создале вишок готовина не нашле соодветна употреба за него.</w:t>
      </w:r>
    </w:p>
    <w:p w:rsidR="0099037B" w:rsidRDefault="0099037B" w:rsidP="001213AB">
      <w:pPr>
        <w:spacing w:line="276" w:lineRule="auto"/>
        <w:jc w:val="both"/>
        <w:rPr>
          <w:szCs w:val="24"/>
          <w:lang w:val="mk-MK"/>
        </w:rPr>
      </w:pPr>
    </w:p>
    <w:p w:rsidR="0099037B" w:rsidRDefault="0099037B" w:rsidP="001213AB">
      <w:pPr>
        <w:spacing w:line="276" w:lineRule="auto"/>
        <w:ind w:firstLine="720"/>
        <w:jc w:val="both"/>
        <w:rPr>
          <w:szCs w:val="24"/>
          <w:lang w:val="mk-MK"/>
        </w:rPr>
      </w:pPr>
      <w:r>
        <w:rPr>
          <w:szCs w:val="24"/>
          <w:lang w:val="mk-MK"/>
        </w:rPr>
        <w:t>в) Дивидендна политика</w:t>
      </w:r>
    </w:p>
    <w:p w:rsidR="0099037B" w:rsidRDefault="0099037B" w:rsidP="001213AB">
      <w:pPr>
        <w:spacing w:line="276" w:lineRule="auto"/>
        <w:jc w:val="both"/>
        <w:rPr>
          <w:szCs w:val="24"/>
          <w:lang w:val="mk-MK"/>
        </w:rPr>
      </w:pPr>
    </w:p>
    <w:p w:rsidR="0099037B" w:rsidRDefault="0099037B" w:rsidP="001213AB">
      <w:pPr>
        <w:spacing w:line="276" w:lineRule="auto"/>
        <w:jc w:val="both"/>
        <w:rPr>
          <w:szCs w:val="24"/>
          <w:lang w:val="mk-MK"/>
        </w:rPr>
      </w:pPr>
      <w:r>
        <w:rPr>
          <w:szCs w:val="24"/>
          <w:lang w:val="mk-MK"/>
        </w:rPr>
        <w:tab/>
        <w:t>Третата составна</w:t>
      </w:r>
      <w:bookmarkStart w:id="0" w:name="_GoBack"/>
      <w:bookmarkEnd w:id="0"/>
      <w:r>
        <w:rPr>
          <w:szCs w:val="24"/>
          <w:lang w:val="mk-MK"/>
        </w:rPr>
        <w:t xml:space="preserve"> компонента на управувањето со финансиите се однесува на распоредувањето на остварениот финансиски резултат или како што уште се нарекува, дивидендната политика. Клучното прашање кое треба да го реши дивидендната политика е како да се распореди финансискиот резултат помеѓу двете основни можности – реинвестирање на добивката или поделба на дивиденда, а притоа да се оствари основната цел на компанијата – максимизација на нејзината вредност. Не навлегувајќи тука во клучните теории кои го третираат овој проблем, само ќе наведеме дека при дивидендното одлучување компаниите се водат од неколку основни фактори: остварената добивка, расположливоста на готовите пари, можностите за инвестирање, аконски и договорни ограничувања и сл. Притоа, основниот постулат е дека дивидендната политика треба да биде стабилна на долг рок, поради што најголем дел од компаните во развиените економии, доколку исплатуваат дивиденда, неа ја одржуваат на исто ниво или со ниска стапка на пораст во текот на долги временски периоди. Причината е токму пазарното вреднување на компанијата, односно ефектот на сигнализирање кој го испраќа стабилната дивидендна политика и кој позитивно делува на сегашните и потенцијалните акционери.</w:t>
      </w:r>
    </w:p>
    <w:p w:rsidR="0099037B" w:rsidRDefault="0099037B" w:rsidP="001213AB">
      <w:pPr>
        <w:spacing w:line="276" w:lineRule="auto"/>
        <w:jc w:val="both"/>
        <w:rPr>
          <w:szCs w:val="24"/>
          <w:lang w:val="mk-MK"/>
        </w:rPr>
      </w:pPr>
      <w:r>
        <w:rPr>
          <w:szCs w:val="24"/>
          <w:lang w:val="mk-MK"/>
        </w:rPr>
        <w:tab/>
        <w:t xml:space="preserve">За оваа намена, направивме анализа на дивидендната политика на нашите компании и тоа на оние што редовно исплатуваат или исплатувале дивиденда. Многу едноставно, графички ќе ги прикажеме износите на дивиденда по акција кои тие ги исплатувале низ годините. Со цел да обезбедиме споредливост помеѓу компаниите, дивидендите ќе ги прикажеме како индекси со база 100 во </w:t>
      </w:r>
      <w:r w:rsidR="00427796">
        <w:rPr>
          <w:szCs w:val="24"/>
          <w:lang w:val="mk-MK"/>
        </w:rPr>
        <w:t>2006</w:t>
      </w:r>
      <w:r>
        <w:rPr>
          <w:szCs w:val="24"/>
          <w:lang w:val="mk-MK"/>
        </w:rPr>
        <w:t xml:space="preserve"> година. </w:t>
      </w:r>
    </w:p>
    <w:p w:rsidR="00A328BE" w:rsidRDefault="00A328BE" w:rsidP="001213AB">
      <w:pPr>
        <w:spacing w:line="276" w:lineRule="auto"/>
        <w:jc w:val="both"/>
        <w:rPr>
          <w:szCs w:val="24"/>
          <w:lang w:val="mk-MK"/>
        </w:rPr>
      </w:pPr>
    </w:p>
    <w:p w:rsidR="00A328BE" w:rsidRDefault="00A328BE" w:rsidP="001213AB">
      <w:pPr>
        <w:spacing w:line="276" w:lineRule="auto"/>
        <w:jc w:val="both"/>
        <w:rPr>
          <w:szCs w:val="24"/>
          <w:lang w:val="mk-MK"/>
        </w:rPr>
      </w:pPr>
      <w:r>
        <w:rPr>
          <w:szCs w:val="24"/>
          <w:lang w:val="mk-MK"/>
        </w:rPr>
        <w:t>Слика бр.</w:t>
      </w:r>
      <w:r w:rsidR="00427796">
        <w:rPr>
          <w:szCs w:val="24"/>
          <w:lang w:val="mk-MK"/>
        </w:rPr>
        <w:t>1:</w:t>
      </w:r>
      <w:r>
        <w:rPr>
          <w:szCs w:val="24"/>
          <w:lang w:val="mk-MK"/>
        </w:rPr>
        <w:t xml:space="preserve"> Дивидендите на македонските компании (2006=100)</w:t>
      </w:r>
    </w:p>
    <w:p w:rsidR="0099037B" w:rsidRDefault="00A328BE" w:rsidP="001213AB">
      <w:pPr>
        <w:spacing w:line="276" w:lineRule="auto"/>
        <w:jc w:val="both"/>
        <w:rPr>
          <w:szCs w:val="24"/>
          <w:lang w:val="mk-MK"/>
        </w:rPr>
      </w:pPr>
      <w:r>
        <w:rPr>
          <w:noProof/>
        </w:rPr>
        <w:drawing>
          <wp:inline distT="0" distB="0" distL="0" distR="0" wp14:anchorId="4DD6FC72" wp14:editId="4B9F897D">
            <wp:extent cx="5943600" cy="2506980"/>
            <wp:effectExtent l="0" t="0" r="1905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28BE" w:rsidRDefault="0099037B" w:rsidP="001213AB">
      <w:pPr>
        <w:spacing w:line="276" w:lineRule="auto"/>
        <w:jc w:val="both"/>
        <w:rPr>
          <w:szCs w:val="24"/>
          <w:lang w:val="mk-MK"/>
        </w:rPr>
      </w:pPr>
      <w:r>
        <w:rPr>
          <w:szCs w:val="24"/>
          <w:lang w:val="mk-MK"/>
        </w:rPr>
        <w:tab/>
      </w:r>
      <w:r w:rsidR="001213AB">
        <w:rPr>
          <w:szCs w:val="24"/>
          <w:lang w:val="mk-MK"/>
        </w:rPr>
        <w:t>Извор: пресметки на авторот, врз основа на податоци објавени на Македонската берза</w:t>
      </w:r>
    </w:p>
    <w:p w:rsidR="001213AB" w:rsidRDefault="001213AB" w:rsidP="001213AB">
      <w:pPr>
        <w:spacing w:line="276" w:lineRule="auto"/>
        <w:jc w:val="both"/>
        <w:rPr>
          <w:szCs w:val="24"/>
          <w:lang w:val="mk-MK"/>
        </w:rPr>
      </w:pPr>
    </w:p>
    <w:p w:rsidR="0099037B" w:rsidRDefault="0099037B" w:rsidP="001213AB">
      <w:pPr>
        <w:spacing w:line="276" w:lineRule="auto"/>
        <w:ind w:firstLine="720"/>
        <w:jc w:val="both"/>
        <w:rPr>
          <w:szCs w:val="24"/>
          <w:lang w:val="mk-MK"/>
        </w:rPr>
      </w:pPr>
      <w:r>
        <w:rPr>
          <w:szCs w:val="24"/>
          <w:lang w:val="mk-MK"/>
        </w:rPr>
        <w:t>Од сликата е евидентно дека нашите акционерски друштва речиси и не водат сметка за стабилноста на дивидендите. Се среќава осц</w:t>
      </w:r>
      <w:r w:rsidR="005F75C8">
        <w:rPr>
          <w:szCs w:val="24"/>
          <w:lang w:val="mk-MK"/>
        </w:rPr>
        <w:t>и</w:t>
      </w:r>
      <w:r>
        <w:rPr>
          <w:szCs w:val="24"/>
          <w:lang w:val="mk-MK"/>
        </w:rPr>
        <w:t>лирање, периоди на висок пораст проследени со големи падови на дивидендите, прекини во исплатата и повторно воведување и сл.</w:t>
      </w:r>
      <w:r w:rsidR="005F75C8">
        <w:rPr>
          <w:szCs w:val="24"/>
          <w:lang w:val="mk-MK"/>
        </w:rPr>
        <w:t xml:space="preserve"> Од тоа </w:t>
      </w:r>
      <w:r w:rsidR="005F75C8">
        <w:rPr>
          <w:szCs w:val="24"/>
          <w:lang w:val="mk-MK"/>
        </w:rPr>
        <w:lastRenderedPageBreak/>
        <w:t>можеме да заклучиме дека компаниите кај нас не го согледале значењето на дивидендната политика за формирањето на цените на акциите или пак воопшто не водат сметка за таа цена, за што подолу ќе стане збор. Друг заклучок е дека компаниите и немаат воспоставена дивидендна политика, туку одлуките за распределба ги носат ад хок, водени исклучиво од тековните фактори.</w:t>
      </w:r>
    </w:p>
    <w:p w:rsidR="00A328BE" w:rsidRDefault="00A328BE" w:rsidP="001213AB">
      <w:pPr>
        <w:spacing w:line="276" w:lineRule="auto"/>
        <w:ind w:firstLine="720"/>
        <w:jc w:val="both"/>
        <w:rPr>
          <w:szCs w:val="24"/>
          <w:lang w:val="mk-MK"/>
        </w:rPr>
      </w:pPr>
    </w:p>
    <w:p w:rsidR="00A328BE" w:rsidRDefault="00A328BE" w:rsidP="001213AB">
      <w:pPr>
        <w:spacing w:line="276" w:lineRule="auto"/>
        <w:ind w:firstLine="720"/>
        <w:jc w:val="both"/>
        <w:rPr>
          <w:szCs w:val="24"/>
          <w:lang w:val="mk-MK"/>
        </w:rPr>
      </w:pPr>
      <w:r>
        <w:rPr>
          <w:szCs w:val="24"/>
          <w:lang w:val="mk-MK"/>
        </w:rPr>
        <w:t>г) Корпоративното управување и односот кон акционерите</w:t>
      </w:r>
    </w:p>
    <w:p w:rsidR="00A328BE" w:rsidRDefault="00A328BE" w:rsidP="001213AB">
      <w:pPr>
        <w:spacing w:line="276" w:lineRule="auto"/>
        <w:ind w:firstLine="720"/>
        <w:jc w:val="both"/>
        <w:rPr>
          <w:szCs w:val="24"/>
          <w:lang w:val="mk-MK"/>
        </w:rPr>
      </w:pPr>
    </w:p>
    <w:p w:rsidR="00A328BE" w:rsidRDefault="00A328BE" w:rsidP="001213AB">
      <w:pPr>
        <w:spacing w:line="276" w:lineRule="auto"/>
        <w:ind w:firstLine="720"/>
        <w:jc w:val="both"/>
        <w:rPr>
          <w:szCs w:val="24"/>
          <w:lang w:val="mk-MK"/>
        </w:rPr>
      </w:pPr>
      <w:r>
        <w:rPr>
          <w:szCs w:val="24"/>
          <w:lang w:val="mk-MK"/>
        </w:rPr>
        <w:t>Последниот сегмент на ова истражување се однесува на односот на компаниите кон нивните акционери, односно начинот на кој компаниите и менаџерите ја разбираат конечната цел кон која тие треба да придонесат со своето делување.</w:t>
      </w:r>
    </w:p>
    <w:p w:rsidR="0050743B" w:rsidRDefault="00A328BE" w:rsidP="001213AB">
      <w:pPr>
        <w:spacing w:line="276" w:lineRule="auto"/>
        <w:ind w:firstLine="720"/>
        <w:jc w:val="both"/>
        <w:rPr>
          <w:szCs w:val="24"/>
          <w:lang w:val="mk-MK"/>
        </w:rPr>
      </w:pPr>
      <w:r>
        <w:rPr>
          <w:szCs w:val="24"/>
          <w:lang w:val="mk-MK"/>
        </w:rPr>
        <w:t xml:space="preserve">Имено, во науката за корпоративните финансии одамна е прифатено дека клучната цел на компаниите е максимизација на нивната вредност, односно максимизирање на богатството на сопствениците на капиталот. Тоа практично значи дека сите акции што компаниите ги преземаат треба да се проценуваат низ призмата на нивниот придонес кон создавањето вредност за компанијата. Иако е поврзано, ова сепак е прилично различно од стереотипното сфаќање за максимизацијата на нето-добивката како цел на работењето, или пак, на други цели, како што се зголемувањето на приходите, освојувањето нови пазари, задоволувањето на потребите на потрошувачите и сл. кои можат да бидат само интермедиерни, </w:t>
      </w:r>
      <w:r w:rsidR="00427796">
        <w:rPr>
          <w:szCs w:val="24"/>
          <w:lang w:val="mk-MK"/>
        </w:rPr>
        <w:t>посредни</w:t>
      </w:r>
      <w:r>
        <w:rPr>
          <w:szCs w:val="24"/>
          <w:lang w:val="mk-MK"/>
        </w:rPr>
        <w:t xml:space="preserve"> цели.</w:t>
      </w:r>
      <w:r w:rsidR="0050743B">
        <w:rPr>
          <w:szCs w:val="24"/>
          <w:lang w:val="mk-MK"/>
        </w:rPr>
        <w:t xml:space="preserve"> Сите востановени постапки за донесување на одлуките во корпоративните финансии се засновани токму на вака поставената цел. Тоа се однесува на одлуките за избор на инвестициски проекти, за оптимизација на структурата на капиталот, на оптимализацијата на дивидендната политика и други. Од согледувањето на оваа конечна цел, во голема мера ќе зависи и односот на компанијата кон акционерите, односно залагањето на менаџерите да остварат резултати на кус или на долг рок, можностите за нивно мотивирање, а конечно и пазарното вреднување на компанијата.</w:t>
      </w:r>
    </w:p>
    <w:p w:rsidR="00A328BE" w:rsidRDefault="0050743B" w:rsidP="001213AB">
      <w:pPr>
        <w:spacing w:line="276" w:lineRule="auto"/>
        <w:ind w:firstLine="720"/>
        <w:jc w:val="both"/>
        <w:rPr>
          <w:szCs w:val="24"/>
          <w:lang w:val="mk-MK"/>
        </w:rPr>
      </w:pPr>
      <w:r>
        <w:rPr>
          <w:szCs w:val="24"/>
          <w:lang w:val="mk-MK"/>
        </w:rPr>
        <w:t xml:space="preserve">Со цел да испитаме какви се состојбите на ова поле, направивме истражување на </w:t>
      </w:r>
      <w:r w:rsidR="001E458E">
        <w:rPr>
          <w:szCs w:val="24"/>
          <w:lang w:val="mk-MK"/>
        </w:rPr>
        <w:t>сите</w:t>
      </w:r>
      <w:r>
        <w:rPr>
          <w:szCs w:val="24"/>
          <w:lang w:val="mk-MK"/>
        </w:rPr>
        <w:t xml:space="preserve"> </w:t>
      </w:r>
      <w:r w:rsidR="001E458E">
        <w:rPr>
          <w:szCs w:val="24"/>
        </w:rPr>
        <w:t>106</w:t>
      </w:r>
      <w:r>
        <w:rPr>
          <w:szCs w:val="24"/>
          <w:lang w:val="mk-MK"/>
        </w:rPr>
        <w:t xml:space="preserve"> </w:t>
      </w:r>
      <w:r w:rsidR="001E458E">
        <w:rPr>
          <w:szCs w:val="24"/>
          <w:lang w:val="mk-MK"/>
        </w:rPr>
        <w:t>к</w:t>
      </w:r>
      <w:r>
        <w:rPr>
          <w:szCs w:val="24"/>
          <w:lang w:val="mk-MK"/>
        </w:rPr>
        <w:t xml:space="preserve">омпании што се котирани  на Македонската берза. Истражувањето </w:t>
      </w:r>
      <w:r w:rsidR="001E458E">
        <w:rPr>
          <w:szCs w:val="24"/>
          <w:lang w:val="mk-MK"/>
        </w:rPr>
        <w:t>се состоеше од</w:t>
      </w:r>
      <w:r>
        <w:rPr>
          <w:szCs w:val="24"/>
          <w:lang w:val="mk-MK"/>
        </w:rPr>
        <w:t xml:space="preserve"> визуелна проверка на нивните интернет страници и </w:t>
      </w:r>
      <w:r w:rsidR="001E458E">
        <w:rPr>
          <w:szCs w:val="24"/>
          <w:lang w:val="mk-MK"/>
        </w:rPr>
        <w:t>информациите</w:t>
      </w:r>
      <w:r>
        <w:rPr>
          <w:szCs w:val="24"/>
          <w:lang w:val="mk-MK"/>
        </w:rPr>
        <w:t xml:space="preserve"> доставени до Македонската берза, при што беа анализирани сите расположливи податоци и извештаи со цел да се дојде до одредени сознанија, како експлицитно презентирани, така и имплицитно извлечени од расположливите документи. Врз основа на ова истражување, добиени се статистички податоци, кои се презентирани во табели.</w:t>
      </w:r>
    </w:p>
    <w:p w:rsidR="0050743B" w:rsidRDefault="00FE41DC" w:rsidP="001213AB">
      <w:pPr>
        <w:spacing w:line="276" w:lineRule="auto"/>
        <w:ind w:firstLine="720"/>
        <w:jc w:val="both"/>
        <w:rPr>
          <w:szCs w:val="24"/>
          <w:lang w:val="mk-MK"/>
        </w:rPr>
      </w:pPr>
      <w:r>
        <w:rPr>
          <w:szCs w:val="24"/>
          <w:lang w:val="mk-MK"/>
        </w:rPr>
        <w:t>Прашањата за кои се бараа одговори во јавно достапните информации беа следниве:</w:t>
      </w:r>
    </w:p>
    <w:p w:rsidR="00FE41DC" w:rsidRDefault="00FE41DC" w:rsidP="001213AB">
      <w:pPr>
        <w:pStyle w:val="ListParagraph"/>
        <w:numPr>
          <w:ilvl w:val="0"/>
          <w:numId w:val="1"/>
        </w:numPr>
        <w:spacing w:line="276" w:lineRule="auto"/>
        <w:jc w:val="both"/>
        <w:rPr>
          <w:szCs w:val="24"/>
          <w:lang w:val="mk-MK"/>
        </w:rPr>
      </w:pPr>
      <w:r>
        <w:rPr>
          <w:szCs w:val="24"/>
          <w:lang w:val="mk-MK"/>
        </w:rPr>
        <w:t>Дали друштвото на својата веб-страница има сегмент „односи со инвеститорите“ (во која било варијанта)?</w:t>
      </w:r>
    </w:p>
    <w:p w:rsidR="00FE41DC" w:rsidRDefault="00FE41DC" w:rsidP="001213AB">
      <w:pPr>
        <w:pStyle w:val="ListParagraph"/>
        <w:numPr>
          <w:ilvl w:val="0"/>
          <w:numId w:val="1"/>
        </w:numPr>
        <w:spacing w:line="276" w:lineRule="auto"/>
        <w:jc w:val="both"/>
        <w:rPr>
          <w:szCs w:val="24"/>
          <w:lang w:val="mk-MK"/>
        </w:rPr>
      </w:pPr>
      <w:r>
        <w:rPr>
          <w:szCs w:val="24"/>
          <w:lang w:val="mk-MK"/>
        </w:rPr>
        <w:t>Дали на веб-страницата на друштвото се дадени информации за неговите акции?</w:t>
      </w:r>
    </w:p>
    <w:p w:rsidR="00FE41DC" w:rsidRDefault="00FE41DC" w:rsidP="001213AB">
      <w:pPr>
        <w:pStyle w:val="ListParagraph"/>
        <w:numPr>
          <w:ilvl w:val="0"/>
          <w:numId w:val="1"/>
        </w:numPr>
        <w:spacing w:line="276" w:lineRule="auto"/>
        <w:jc w:val="both"/>
        <w:rPr>
          <w:szCs w:val="24"/>
          <w:lang w:val="mk-MK"/>
        </w:rPr>
      </w:pPr>
      <w:r>
        <w:rPr>
          <w:szCs w:val="24"/>
          <w:lang w:val="mk-MK"/>
        </w:rPr>
        <w:t>Дали во својот годишен извештај друштвото се осврнува на тргувањето со нивните акции?</w:t>
      </w:r>
    </w:p>
    <w:p w:rsidR="00FE41DC" w:rsidRDefault="00FE41DC" w:rsidP="001213AB">
      <w:pPr>
        <w:pStyle w:val="ListParagraph"/>
        <w:numPr>
          <w:ilvl w:val="0"/>
          <w:numId w:val="1"/>
        </w:numPr>
        <w:spacing w:line="276" w:lineRule="auto"/>
        <w:jc w:val="both"/>
        <w:rPr>
          <w:szCs w:val="24"/>
          <w:lang w:val="mk-MK"/>
        </w:rPr>
      </w:pPr>
      <w:r>
        <w:rPr>
          <w:szCs w:val="24"/>
          <w:lang w:val="mk-MK"/>
        </w:rPr>
        <w:t>Дали во својот годишен извештај друштвото се обраќа на своите акционери (макар и делумно)?</w:t>
      </w:r>
    </w:p>
    <w:p w:rsidR="00FE41DC" w:rsidRDefault="00FE41DC" w:rsidP="001213AB">
      <w:pPr>
        <w:pStyle w:val="ListParagraph"/>
        <w:numPr>
          <w:ilvl w:val="0"/>
          <w:numId w:val="1"/>
        </w:numPr>
        <w:spacing w:line="276" w:lineRule="auto"/>
        <w:jc w:val="both"/>
        <w:rPr>
          <w:szCs w:val="24"/>
          <w:lang w:val="mk-MK"/>
        </w:rPr>
      </w:pPr>
      <w:r>
        <w:rPr>
          <w:szCs w:val="24"/>
          <w:lang w:val="mk-MK"/>
        </w:rPr>
        <w:t>Дали во годишниот извештај експлицитно е наведена целта на компанијата и која е таа?</w:t>
      </w:r>
    </w:p>
    <w:p w:rsidR="00FE41DC" w:rsidRDefault="00FE41DC" w:rsidP="001213AB">
      <w:pPr>
        <w:pStyle w:val="ListParagraph"/>
        <w:numPr>
          <w:ilvl w:val="0"/>
          <w:numId w:val="1"/>
        </w:numPr>
        <w:spacing w:line="276" w:lineRule="auto"/>
        <w:jc w:val="both"/>
        <w:rPr>
          <w:szCs w:val="24"/>
          <w:lang w:val="mk-MK"/>
        </w:rPr>
      </w:pPr>
      <w:r>
        <w:rPr>
          <w:szCs w:val="24"/>
          <w:lang w:val="mk-MK"/>
        </w:rPr>
        <w:t>Дали годишниот извештај е поставен на веб-страницата на друштвото?</w:t>
      </w:r>
    </w:p>
    <w:p w:rsidR="00AC6B6D" w:rsidRDefault="00FE41DC" w:rsidP="001213AB">
      <w:pPr>
        <w:pStyle w:val="ListParagraph"/>
        <w:numPr>
          <w:ilvl w:val="0"/>
          <w:numId w:val="1"/>
        </w:numPr>
        <w:spacing w:line="276" w:lineRule="auto"/>
        <w:jc w:val="both"/>
        <w:rPr>
          <w:szCs w:val="24"/>
          <w:lang w:val="mk-MK"/>
        </w:rPr>
      </w:pPr>
      <w:r>
        <w:rPr>
          <w:szCs w:val="24"/>
          <w:lang w:val="mk-MK"/>
        </w:rPr>
        <w:lastRenderedPageBreak/>
        <w:t>Колкава е должината на годишниот извештај во страници</w:t>
      </w:r>
      <w:r w:rsidR="00516264">
        <w:rPr>
          <w:szCs w:val="24"/>
          <w:lang w:val="mk-MK"/>
        </w:rPr>
        <w:t xml:space="preserve"> (без делот на финансиските извештаи)</w:t>
      </w:r>
      <w:r>
        <w:rPr>
          <w:szCs w:val="24"/>
          <w:lang w:val="mk-MK"/>
        </w:rPr>
        <w:t>?</w:t>
      </w:r>
    </w:p>
    <w:p w:rsidR="001E458E" w:rsidRDefault="001E458E" w:rsidP="001213AB">
      <w:pPr>
        <w:spacing w:line="276" w:lineRule="auto"/>
        <w:jc w:val="both"/>
        <w:rPr>
          <w:szCs w:val="24"/>
          <w:lang w:val="mk-MK"/>
        </w:rPr>
      </w:pPr>
    </w:p>
    <w:p w:rsidR="001E458E" w:rsidRPr="00427796" w:rsidRDefault="001E458E" w:rsidP="001213AB">
      <w:pPr>
        <w:spacing w:line="276" w:lineRule="auto"/>
        <w:ind w:left="720"/>
        <w:jc w:val="both"/>
        <w:rPr>
          <w:szCs w:val="24"/>
          <w:lang w:val="mk-MK"/>
        </w:rPr>
      </w:pPr>
      <w:r w:rsidRPr="00427796">
        <w:rPr>
          <w:szCs w:val="24"/>
          <w:lang w:val="mk-MK"/>
        </w:rPr>
        <w:t xml:space="preserve">Резултатите се презентирани во табелата </w:t>
      </w:r>
      <w:r w:rsidR="00427796" w:rsidRPr="00427796">
        <w:rPr>
          <w:szCs w:val="24"/>
          <w:lang w:val="mk-MK"/>
        </w:rPr>
        <w:t>2</w:t>
      </w:r>
      <w:r w:rsidRPr="00427796">
        <w:rPr>
          <w:szCs w:val="24"/>
          <w:lang w:val="mk-MK"/>
        </w:rPr>
        <w:t>.</w:t>
      </w:r>
    </w:p>
    <w:p w:rsidR="00AC6B6D" w:rsidRPr="00427796" w:rsidRDefault="00AC6B6D" w:rsidP="001213AB">
      <w:pPr>
        <w:spacing w:line="276" w:lineRule="auto"/>
        <w:rPr>
          <w:szCs w:val="24"/>
          <w:lang w:val="mk-MK"/>
        </w:rPr>
      </w:pPr>
    </w:p>
    <w:p w:rsidR="003D0252" w:rsidRPr="003D0252" w:rsidRDefault="003D0252" w:rsidP="001213AB">
      <w:pPr>
        <w:spacing w:line="276" w:lineRule="auto"/>
        <w:rPr>
          <w:szCs w:val="24"/>
          <w:lang w:val="mk-MK"/>
        </w:rPr>
      </w:pPr>
      <w:r w:rsidRPr="00427796">
        <w:rPr>
          <w:szCs w:val="24"/>
          <w:lang w:val="mk-MK"/>
        </w:rPr>
        <w:t xml:space="preserve">Табела </w:t>
      </w:r>
      <w:r w:rsidR="00427796" w:rsidRPr="00427796">
        <w:rPr>
          <w:szCs w:val="24"/>
          <w:lang w:val="mk-MK"/>
        </w:rPr>
        <w:t xml:space="preserve">2: </w:t>
      </w:r>
      <w:r w:rsidR="00516264" w:rsidRPr="00427796">
        <w:rPr>
          <w:szCs w:val="24"/>
          <w:lang w:val="mk-MK"/>
        </w:rPr>
        <w:t>Однос на компаниите кон информирање на акционерите</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1559"/>
        <w:gridCol w:w="1797"/>
      </w:tblGrid>
      <w:tr w:rsidR="001E458E" w:rsidRPr="00462866" w:rsidTr="0041760A">
        <w:tc>
          <w:tcPr>
            <w:tcW w:w="5778" w:type="dxa"/>
          </w:tcPr>
          <w:p w:rsidR="001E458E" w:rsidRPr="00462866" w:rsidRDefault="001E458E" w:rsidP="001213AB">
            <w:pPr>
              <w:jc w:val="both"/>
              <w:rPr>
                <w:lang w:val="mk-MK"/>
              </w:rPr>
            </w:pPr>
          </w:p>
        </w:tc>
        <w:tc>
          <w:tcPr>
            <w:tcW w:w="1559" w:type="dxa"/>
          </w:tcPr>
          <w:p w:rsidR="001E458E" w:rsidRPr="00462866" w:rsidRDefault="001E458E" w:rsidP="001213AB">
            <w:pPr>
              <w:jc w:val="center"/>
              <w:rPr>
                <w:b/>
                <w:bCs/>
                <w:lang w:val="mk-MK"/>
              </w:rPr>
            </w:pPr>
            <w:r w:rsidRPr="00462866">
              <w:rPr>
                <w:b/>
                <w:bCs/>
                <w:sz w:val="22"/>
                <w:lang w:val="mk-MK"/>
              </w:rPr>
              <w:t>Берзанска котација</w:t>
            </w:r>
          </w:p>
        </w:tc>
        <w:tc>
          <w:tcPr>
            <w:tcW w:w="1797" w:type="dxa"/>
          </w:tcPr>
          <w:p w:rsidR="001E458E" w:rsidRPr="00462866" w:rsidRDefault="001E458E" w:rsidP="001213AB">
            <w:pPr>
              <w:jc w:val="center"/>
              <w:rPr>
                <w:b/>
                <w:bCs/>
                <w:lang w:val="mk-MK"/>
              </w:rPr>
            </w:pPr>
            <w:r w:rsidRPr="00462866">
              <w:rPr>
                <w:b/>
                <w:bCs/>
                <w:sz w:val="22"/>
                <w:lang w:val="mk-MK"/>
              </w:rPr>
              <w:t>Задолжителна котација</w:t>
            </w:r>
          </w:p>
        </w:tc>
      </w:tr>
      <w:tr w:rsidR="001E458E" w:rsidRPr="00462866" w:rsidTr="0041760A">
        <w:tc>
          <w:tcPr>
            <w:tcW w:w="5778" w:type="dxa"/>
          </w:tcPr>
          <w:p w:rsidR="001E458E" w:rsidRPr="00462866" w:rsidRDefault="001E458E" w:rsidP="001213AB">
            <w:pPr>
              <w:rPr>
                <w:lang w:val="mk-MK"/>
              </w:rPr>
            </w:pPr>
            <w:r w:rsidRPr="00462866">
              <w:rPr>
                <w:sz w:val="22"/>
                <w:lang w:val="mk-MK"/>
              </w:rPr>
              <w:t>Вкупно анализирани компании</w:t>
            </w:r>
          </w:p>
        </w:tc>
        <w:tc>
          <w:tcPr>
            <w:tcW w:w="1559" w:type="dxa"/>
            <w:vAlign w:val="center"/>
          </w:tcPr>
          <w:p w:rsidR="001E458E" w:rsidRPr="00462866" w:rsidRDefault="003D0252" w:rsidP="001213AB">
            <w:pPr>
              <w:jc w:val="center"/>
              <w:rPr>
                <w:lang w:val="mk-MK"/>
              </w:rPr>
            </w:pPr>
            <w:r>
              <w:rPr>
                <w:sz w:val="22"/>
                <w:lang w:val="mk-MK"/>
              </w:rPr>
              <w:t>28</w:t>
            </w:r>
          </w:p>
        </w:tc>
        <w:tc>
          <w:tcPr>
            <w:tcW w:w="1797" w:type="dxa"/>
            <w:vAlign w:val="center"/>
          </w:tcPr>
          <w:p w:rsidR="001E458E" w:rsidRPr="00462866" w:rsidRDefault="001E458E" w:rsidP="001213AB">
            <w:pPr>
              <w:jc w:val="center"/>
              <w:rPr>
                <w:lang w:val="mk-MK"/>
              </w:rPr>
            </w:pPr>
            <w:r w:rsidRPr="00462866">
              <w:rPr>
                <w:sz w:val="22"/>
                <w:lang w:val="mk-MK"/>
              </w:rPr>
              <w:t>7</w:t>
            </w:r>
            <w:r w:rsidR="003D0252">
              <w:rPr>
                <w:sz w:val="22"/>
                <w:lang w:val="mk-MK"/>
              </w:rPr>
              <w:t>8</w:t>
            </w:r>
          </w:p>
        </w:tc>
      </w:tr>
      <w:tr w:rsidR="001E458E" w:rsidRPr="00462866" w:rsidTr="0041760A">
        <w:tc>
          <w:tcPr>
            <w:tcW w:w="5778" w:type="dxa"/>
          </w:tcPr>
          <w:p w:rsidR="001E458E" w:rsidRPr="00462866" w:rsidRDefault="001E458E" w:rsidP="001213AB">
            <w:pPr>
              <w:rPr>
                <w:lang w:val="mk-MK"/>
              </w:rPr>
            </w:pPr>
            <w:r w:rsidRPr="00462866">
              <w:rPr>
                <w:sz w:val="22"/>
                <w:lang w:val="mk-MK"/>
              </w:rPr>
              <w:t>Број на компании што имаат своја веб</w:t>
            </w:r>
            <w:r>
              <w:rPr>
                <w:sz w:val="22"/>
                <w:lang w:val="mk-MK"/>
              </w:rPr>
              <w:t xml:space="preserve"> </w:t>
            </w:r>
            <w:r w:rsidRPr="00462866">
              <w:rPr>
                <w:sz w:val="22"/>
                <w:lang w:val="mk-MK"/>
              </w:rPr>
              <w:t>страница</w:t>
            </w:r>
          </w:p>
        </w:tc>
        <w:tc>
          <w:tcPr>
            <w:tcW w:w="1559" w:type="dxa"/>
            <w:vAlign w:val="center"/>
          </w:tcPr>
          <w:p w:rsidR="001E458E" w:rsidRPr="003D0252" w:rsidRDefault="003D0252" w:rsidP="001213AB">
            <w:pPr>
              <w:jc w:val="center"/>
            </w:pPr>
            <w:r>
              <w:rPr>
                <w:sz w:val="22"/>
              </w:rPr>
              <w:t>28</w:t>
            </w:r>
          </w:p>
        </w:tc>
        <w:tc>
          <w:tcPr>
            <w:tcW w:w="1797" w:type="dxa"/>
            <w:vAlign w:val="center"/>
          </w:tcPr>
          <w:p w:rsidR="001E458E" w:rsidRPr="00462866" w:rsidRDefault="003D0252" w:rsidP="001213AB">
            <w:pPr>
              <w:jc w:val="center"/>
              <w:rPr>
                <w:lang w:val="mk-MK"/>
              </w:rPr>
            </w:pPr>
            <w:r>
              <w:rPr>
                <w:sz w:val="22"/>
                <w:lang w:val="mk-MK"/>
              </w:rPr>
              <w:t>50</w:t>
            </w:r>
          </w:p>
        </w:tc>
      </w:tr>
      <w:tr w:rsidR="001E458E" w:rsidRPr="00462866" w:rsidTr="0041760A">
        <w:tc>
          <w:tcPr>
            <w:tcW w:w="5778" w:type="dxa"/>
          </w:tcPr>
          <w:p w:rsidR="001E458E" w:rsidRPr="00462866" w:rsidRDefault="001E458E" w:rsidP="001213AB">
            <w:pPr>
              <w:rPr>
                <w:lang w:val="mk-MK"/>
              </w:rPr>
            </w:pPr>
            <w:r w:rsidRPr="00462866">
              <w:rPr>
                <w:sz w:val="22"/>
                <w:lang w:val="mk-MK"/>
              </w:rPr>
              <w:t>Број на компании што имаат дел за информирање на акционерите на веб</w:t>
            </w:r>
            <w:r>
              <w:rPr>
                <w:sz w:val="22"/>
                <w:lang w:val="mk-MK"/>
              </w:rPr>
              <w:t xml:space="preserve"> </w:t>
            </w:r>
            <w:r w:rsidRPr="00462866">
              <w:rPr>
                <w:sz w:val="22"/>
                <w:lang w:val="mk-MK"/>
              </w:rPr>
              <w:t>страницата</w:t>
            </w:r>
          </w:p>
        </w:tc>
        <w:tc>
          <w:tcPr>
            <w:tcW w:w="1559" w:type="dxa"/>
            <w:vAlign w:val="center"/>
          </w:tcPr>
          <w:p w:rsidR="001E458E" w:rsidRPr="003D0252" w:rsidRDefault="003D0252" w:rsidP="001213AB">
            <w:pPr>
              <w:jc w:val="center"/>
            </w:pPr>
            <w:r>
              <w:rPr>
                <w:sz w:val="22"/>
              </w:rPr>
              <w:t>24</w:t>
            </w:r>
          </w:p>
        </w:tc>
        <w:tc>
          <w:tcPr>
            <w:tcW w:w="1797" w:type="dxa"/>
            <w:vAlign w:val="center"/>
          </w:tcPr>
          <w:p w:rsidR="001E458E" w:rsidRPr="00462866" w:rsidRDefault="003D0252" w:rsidP="001213AB">
            <w:pPr>
              <w:jc w:val="center"/>
              <w:rPr>
                <w:lang w:val="mk-MK"/>
              </w:rPr>
            </w:pPr>
            <w:r>
              <w:rPr>
                <w:sz w:val="22"/>
                <w:lang w:val="mk-MK"/>
              </w:rPr>
              <w:t>42</w:t>
            </w:r>
          </w:p>
        </w:tc>
      </w:tr>
      <w:tr w:rsidR="001E458E" w:rsidRPr="00462866" w:rsidTr="0041760A">
        <w:tc>
          <w:tcPr>
            <w:tcW w:w="5778" w:type="dxa"/>
          </w:tcPr>
          <w:p w:rsidR="001E458E" w:rsidRPr="00462866" w:rsidRDefault="001E458E" w:rsidP="001213AB">
            <w:pPr>
              <w:rPr>
                <w:lang w:val="mk-MK"/>
              </w:rPr>
            </w:pPr>
            <w:r w:rsidRPr="00462866">
              <w:rPr>
                <w:sz w:val="22"/>
                <w:lang w:val="mk-MK"/>
              </w:rPr>
              <w:t>Информации за акциите на компанијата на нејзината веб</w:t>
            </w:r>
            <w:r w:rsidR="003D0252">
              <w:rPr>
                <w:sz w:val="22"/>
                <w:lang w:val="mk-MK"/>
              </w:rPr>
              <w:t xml:space="preserve"> </w:t>
            </w:r>
            <w:r w:rsidRPr="00462866">
              <w:rPr>
                <w:sz w:val="22"/>
                <w:lang w:val="mk-MK"/>
              </w:rPr>
              <w:t>страница</w:t>
            </w:r>
          </w:p>
        </w:tc>
        <w:tc>
          <w:tcPr>
            <w:tcW w:w="1559" w:type="dxa"/>
            <w:vAlign w:val="center"/>
          </w:tcPr>
          <w:p w:rsidR="001E458E" w:rsidRPr="00462866" w:rsidRDefault="001E458E" w:rsidP="001213AB">
            <w:pPr>
              <w:jc w:val="center"/>
              <w:rPr>
                <w:lang w:val="mk-MK"/>
              </w:rPr>
            </w:pPr>
          </w:p>
        </w:tc>
        <w:tc>
          <w:tcPr>
            <w:tcW w:w="1797" w:type="dxa"/>
            <w:vAlign w:val="center"/>
          </w:tcPr>
          <w:p w:rsidR="001E458E" w:rsidRPr="00462866" w:rsidRDefault="001E458E" w:rsidP="001213AB">
            <w:pPr>
              <w:jc w:val="center"/>
              <w:rPr>
                <w:lang w:val="mk-MK"/>
              </w:rPr>
            </w:pPr>
          </w:p>
        </w:tc>
      </w:tr>
      <w:tr w:rsidR="001E458E" w:rsidRPr="00462866" w:rsidTr="0041760A">
        <w:tc>
          <w:tcPr>
            <w:tcW w:w="5778" w:type="dxa"/>
          </w:tcPr>
          <w:p w:rsidR="001E458E" w:rsidRPr="00462866" w:rsidRDefault="001E458E" w:rsidP="001213AB">
            <w:pPr>
              <w:pStyle w:val="ListParagraph"/>
              <w:numPr>
                <w:ilvl w:val="0"/>
                <w:numId w:val="2"/>
              </w:numPr>
              <w:contextualSpacing w:val="0"/>
              <w:rPr>
                <w:lang w:val="mk-MK"/>
              </w:rPr>
            </w:pPr>
            <w:r w:rsidRPr="00462866">
              <w:rPr>
                <w:sz w:val="22"/>
                <w:lang w:val="mk-MK"/>
              </w:rPr>
              <w:t>Тековни пазарни информации (бр. на компании)</w:t>
            </w:r>
          </w:p>
        </w:tc>
        <w:tc>
          <w:tcPr>
            <w:tcW w:w="1559" w:type="dxa"/>
            <w:vAlign w:val="center"/>
          </w:tcPr>
          <w:p w:rsidR="001E458E" w:rsidRPr="003D0252" w:rsidRDefault="001E458E" w:rsidP="001213AB">
            <w:pPr>
              <w:jc w:val="center"/>
            </w:pPr>
            <w:r w:rsidRPr="00462866">
              <w:rPr>
                <w:sz w:val="22"/>
                <w:lang w:val="mk-MK"/>
              </w:rPr>
              <w:t>1 од 2</w:t>
            </w:r>
            <w:r w:rsidR="003D0252">
              <w:rPr>
                <w:sz w:val="22"/>
              </w:rPr>
              <w:t>8</w:t>
            </w:r>
          </w:p>
        </w:tc>
        <w:tc>
          <w:tcPr>
            <w:tcW w:w="1797" w:type="dxa"/>
            <w:vAlign w:val="center"/>
          </w:tcPr>
          <w:p w:rsidR="001E458E" w:rsidRPr="00462866" w:rsidRDefault="001E458E" w:rsidP="001213AB">
            <w:pPr>
              <w:jc w:val="center"/>
              <w:rPr>
                <w:lang w:val="mk-MK"/>
              </w:rPr>
            </w:pPr>
            <w:r w:rsidRPr="00462866">
              <w:rPr>
                <w:sz w:val="22"/>
                <w:lang w:val="mk-MK"/>
              </w:rPr>
              <w:t>0</w:t>
            </w:r>
          </w:p>
        </w:tc>
      </w:tr>
      <w:tr w:rsidR="001E458E" w:rsidRPr="00462866" w:rsidTr="0041760A">
        <w:tc>
          <w:tcPr>
            <w:tcW w:w="5778" w:type="dxa"/>
          </w:tcPr>
          <w:p w:rsidR="001E458E" w:rsidRPr="00462866" w:rsidRDefault="001E458E" w:rsidP="001213AB">
            <w:pPr>
              <w:pStyle w:val="ListParagraph"/>
              <w:numPr>
                <w:ilvl w:val="0"/>
                <w:numId w:val="2"/>
              </w:numPr>
              <w:contextualSpacing w:val="0"/>
              <w:rPr>
                <w:lang w:val="mk-MK"/>
              </w:rPr>
            </w:pPr>
            <w:r w:rsidRPr="00462866">
              <w:rPr>
                <w:sz w:val="22"/>
                <w:lang w:val="mk-MK"/>
              </w:rPr>
              <w:t>Да, некакви информации (бр. на компании)</w:t>
            </w:r>
          </w:p>
        </w:tc>
        <w:tc>
          <w:tcPr>
            <w:tcW w:w="1559" w:type="dxa"/>
            <w:vAlign w:val="center"/>
          </w:tcPr>
          <w:p w:rsidR="001E458E" w:rsidRPr="003D0252" w:rsidRDefault="001E458E" w:rsidP="001213AB">
            <w:pPr>
              <w:jc w:val="center"/>
            </w:pPr>
            <w:r w:rsidRPr="00462866">
              <w:rPr>
                <w:sz w:val="22"/>
                <w:lang w:val="mk-MK"/>
              </w:rPr>
              <w:t>2 од 2</w:t>
            </w:r>
            <w:r w:rsidR="003D0252">
              <w:rPr>
                <w:sz w:val="22"/>
              </w:rPr>
              <w:t>8</w:t>
            </w:r>
          </w:p>
        </w:tc>
        <w:tc>
          <w:tcPr>
            <w:tcW w:w="1797" w:type="dxa"/>
            <w:vAlign w:val="center"/>
          </w:tcPr>
          <w:p w:rsidR="001E458E" w:rsidRPr="00462866" w:rsidRDefault="001E458E" w:rsidP="001213AB">
            <w:pPr>
              <w:jc w:val="center"/>
              <w:rPr>
                <w:lang w:val="mk-MK"/>
              </w:rPr>
            </w:pPr>
            <w:r w:rsidRPr="00462866">
              <w:rPr>
                <w:sz w:val="22"/>
                <w:lang w:val="mk-MK"/>
              </w:rPr>
              <w:t xml:space="preserve">5 од </w:t>
            </w:r>
            <w:r w:rsidR="003D0252">
              <w:rPr>
                <w:sz w:val="22"/>
                <w:lang w:val="mk-MK"/>
              </w:rPr>
              <w:t>50</w:t>
            </w:r>
          </w:p>
        </w:tc>
      </w:tr>
      <w:tr w:rsidR="001E458E" w:rsidRPr="00462866" w:rsidTr="0041760A">
        <w:tc>
          <w:tcPr>
            <w:tcW w:w="5778" w:type="dxa"/>
          </w:tcPr>
          <w:p w:rsidR="001E458E" w:rsidRPr="00462866" w:rsidRDefault="001E458E" w:rsidP="001213AB">
            <w:pPr>
              <w:pStyle w:val="ListParagraph"/>
              <w:numPr>
                <w:ilvl w:val="0"/>
                <w:numId w:val="2"/>
              </w:numPr>
              <w:contextualSpacing w:val="0"/>
              <w:rPr>
                <w:lang w:val="mk-MK"/>
              </w:rPr>
            </w:pPr>
            <w:r w:rsidRPr="00462866">
              <w:rPr>
                <w:sz w:val="22"/>
                <w:lang w:val="mk-MK"/>
              </w:rPr>
              <w:t>Никакви информации (бр. на компании)</w:t>
            </w:r>
          </w:p>
        </w:tc>
        <w:tc>
          <w:tcPr>
            <w:tcW w:w="1559" w:type="dxa"/>
            <w:vAlign w:val="center"/>
          </w:tcPr>
          <w:p w:rsidR="001E458E" w:rsidRPr="003D0252" w:rsidRDefault="001E458E" w:rsidP="001213AB">
            <w:pPr>
              <w:jc w:val="center"/>
            </w:pPr>
            <w:r w:rsidRPr="00462866">
              <w:rPr>
                <w:sz w:val="22"/>
                <w:lang w:val="mk-MK"/>
              </w:rPr>
              <w:t>2</w:t>
            </w:r>
            <w:r w:rsidR="003D0252">
              <w:rPr>
                <w:sz w:val="22"/>
              </w:rPr>
              <w:t>5</w:t>
            </w:r>
            <w:r w:rsidRPr="00462866">
              <w:rPr>
                <w:sz w:val="22"/>
                <w:lang w:val="mk-MK"/>
              </w:rPr>
              <w:t xml:space="preserve"> од 2</w:t>
            </w:r>
            <w:r w:rsidR="003D0252">
              <w:rPr>
                <w:sz w:val="22"/>
              </w:rPr>
              <w:t>8</w:t>
            </w:r>
          </w:p>
        </w:tc>
        <w:tc>
          <w:tcPr>
            <w:tcW w:w="1797" w:type="dxa"/>
            <w:vAlign w:val="center"/>
          </w:tcPr>
          <w:p w:rsidR="001E458E" w:rsidRPr="00462866" w:rsidRDefault="003D0252" w:rsidP="001213AB">
            <w:pPr>
              <w:jc w:val="center"/>
              <w:rPr>
                <w:lang w:val="mk-MK"/>
              </w:rPr>
            </w:pPr>
            <w:r>
              <w:rPr>
                <w:sz w:val="22"/>
                <w:lang w:val="mk-MK"/>
              </w:rPr>
              <w:t>45</w:t>
            </w:r>
            <w:r w:rsidR="001E458E" w:rsidRPr="00462866">
              <w:rPr>
                <w:sz w:val="22"/>
                <w:lang w:val="mk-MK"/>
              </w:rPr>
              <w:t xml:space="preserve"> од </w:t>
            </w:r>
            <w:r>
              <w:rPr>
                <w:sz w:val="22"/>
                <w:lang w:val="mk-MK"/>
              </w:rPr>
              <w:t>50</w:t>
            </w:r>
          </w:p>
        </w:tc>
      </w:tr>
      <w:tr w:rsidR="00725138" w:rsidRPr="00462866" w:rsidTr="00725138">
        <w:tc>
          <w:tcPr>
            <w:tcW w:w="5778" w:type="dxa"/>
            <w:tcBorders>
              <w:top w:val="single" w:sz="4" w:space="0" w:color="auto"/>
              <w:left w:val="single" w:sz="4" w:space="0" w:color="auto"/>
              <w:bottom w:val="single" w:sz="4" w:space="0" w:color="auto"/>
              <w:right w:val="single" w:sz="4" w:space="0" w:color="auto"/>
            </w:tcBorders>
          </w:tcPr>
          <w:p w:rsidR="00725138" w:rsidRPr="00725138" w:rsidRDefault="00725138" w:rsidP="001213AB">
            <w:pPr>
              <w:pStyle w:val="ListParagraph"/>
              <w:ind w:left="780" w:hanging="360"/>
              <w:rPr>
                <w:sz w:val="22"/>
                <w:lang w:val="mk-MK"/>
              </w:rPr>
            </w:pPr>
            <w:r w:rsidRPr="00462866">
              <w:rPr>
                <w:sz w:val="22"/>
                <w:lang w:val="mk-MK"/>
              </w:rPr>
              <w:t>Годишниот извештај е даден на веб</w:t>
            </w:r>
            <w:r>
              <w:rPr>
                <w:sz w:val="22"/>
                <w:lang w:val="mk-MK"/>
              </w:rPr>
              <w:t xml:space="preserve"> </w:t>
            </w:r>
            <w:r w:rsidRPr="00462866">
              <w:rPr>
                <w:sz w:val="22"/>
                <w:lang w:val="mk-MK"/>
              </w:rPr>
              <w:t>страницата на компанијата (бр. на компании)</w:t>
            </w:r>
          </w:p>
        </w:tc>
        <w:tc>
          <w:tcPr>
            <w:tcW w:w="1559" w:type="dxa"/>
            <w:tcBorders>
              <w:top w:val="single" w:sz="4" w:space="0" w:color="auto"/>
              <w:left w:val="single" w:sz="4" w:space="0" w:color="auto"/>
              <w:bottom w:val="single" w:sz="4" w:space="0" w:color="auto"/>
              <w:right w:val="single" w:sz="4" w:space="0" w:color="auto"/>
            </w:tcBorders>
            <w:vAlign w:val="center"/>
          </w:tcPr>
          <w:p w:rsidR="00725138" w:rsidRPr="003D0252" w:rsidRDefault="003D0252" w:rsidP="001213AB">
            <w:pPr>
              <w:jc w:val="center"/>
              <w:rPr>
                <w:sz w:val="22"/>
              </w:rPr>
            </w:pPr>
            <w:r>
              <w:rPr>
                <w:sz w:val="22"/>
              </w:rPr>
              <w:t>20</w:t>
            </w:r>
            <w:r w:rsidR="00725138" w:rsidRPr="00462866">
              <w:rPr>
                <w:sz w:val="22"/>
                <w:lang w:val="mk-MK"/>
              </w:rPr>
              <w:t xml:space="preserve"> од 2</w:t>
            </w:r>
            <w:r>
              <w:rPr>
                <w:sz w:val="22"/>
              </w:rPr>
              <w:t>8</w:t>
            </w:r>
          </w:p>
        </w:tc>
        <w:tc>
          <w:tcPr>
            <w:tcW w:w="1797" w:type="dxa"/>
            <w:tcBorders>
              <w:top w:val="single" w:sz="4" w:space="0" w:color="auto"/>
              <w:left w:val="single" w:sz="4" w:space="0" w:color="auto"/>
              <w:bottom w:val="single" w:sz="4" w:space="0" w:color="auto"/>
              <w:right w:val="single" w:sz="4" w:space="0" w:color="auto"/>
            </w:tcBorders>
            <w:vAlign w:val="center"/>
          </w:tcPr>
          <w:p w:rsidR="00725138" w:rsidRPr="00725138" w:rsidRDefault="003D0252" w:rsidP="001213AB">
            <w:pPr>
              <w:jc w:val="center"/>
              <w:rPr>
                <w:sz w:val="22"/>
                <w:lang w:val="mk-MK"/>
              </w:rPr>
            </w:pPr>
            <w:r>
              <w:rPr>
                <w:sz w:val="22"/>
                <w:lang w:val="mk-MK"/>
              </w:rPr>
              <w:t>29</w:t>
            </w:r>
            <w:r w:rsidR="00725138" w:rsidRPr="00462866">
              <w:rPr>
                <w:sz w:val="22"/>
                <w:lang w:val="mk-MK"/>
              </w:rPr>
              <w:t xml:space="preserve"> од </w:t>
            </w:r>
            <w:r>
              <w:rPr>
                <w:sz w:val="22"/>
                <w:lang w:val="mk-MK"/>
              </w:rPr>
              <w:t>50</w:t>
            </w:r>
          </w:p>
        </w:tc>
      </w:tr>
      <w:tr w:rsidR="00725138" w:rsidRPr="00462866" w:rsidTr="00725138">
        <w:tc>
          <w:tcPr>
            <w:tcW w:w="5778" w:type="dxa"/>
            <w:tcBorders>
              <w:top w:val="single" w:sz="4" w:space="0" w:color="auto"/>
              <w:left w:val="single" w:sz="4" w:space="0" w:color="auto"/>
              <w:bottom w:val="single" w:sz="4" w:space="0" w:color="auto"/>
              <w:right w:val="single" w:sz="4" w:space="0" w:color="auto"/>
            </w:tcBorders>
          </w:tcPr>
          <w:p w:rsidR="00725138" w:rsidRPr="00725138" w:rsidRDefault="00725138" w:rsidP="001213AB">
            <w:pPr>
              <w:pStyle w:val="ListParagraph"/>
              <w:ind w:left="780" w:hanging="360"/>
              <w:rPr>
                <w:sz w:val="22"/>
                <w:lang w:val="mk-MK"/>
              </w:rPr>
            </w:pPr>
            <w:r w:rsidRPr="00462866">
              <w:rPr>
                <w:sz w:val="22"/>
                <w:lang w:val="mk-MK"/>
              </w:rPr>
              <w:t>Должина на годишниот извештај (бр. на страници)</w:t>
            </w:r>
          </w:p>
        </w:tc>
        <w:tc>
          <w:tcPr>
            <w:tcW w:w="1559" w:type="dxa"/>
            <w:tcBorders>
              <w:top w:val="single" w:sz="4" w:space="0" w:color="auto"/>
              <w:left w:val="single" w:sz="4" w:space="0" w:color="auto"/>
              <w:bottom w:val="single" w:sz="4" w:space="0" w:color="auto"/>
              <w:right w:val="single" w:sz="4" w:space="0" w:color="auto"/>
            </w:tcBorders>
            <w:vAlign w:val="center"/>
          </w:tcPr>
          <w:p w:rsidR="00725138" w:rsidRPr="00725138" w:rsidRDefault="00725138" w:rsidP="001213AB">
            <w:pPr>
              <w:jc w:val="center"/>
              <w:rPr>
                <w:sz w:val="22"/>
                <w:lang w:val="mk-MK"/>
              </w:rPr>
            </w:pPr>
          </w:p>
        </w:tc>
        <w:tc>
          <w:tcPr>
            <w:tcW w:w="1797" w:type="dxa"/>
            <w:tcBorders>
              <w:top w:val="single" w:sz="4" w:space="0" w:color="auto"/>
              <w:left w:val="single" w:sz="4" w:space="0" w:color="auto"/>
              <w:bottom w:val="single" w:sz="4" w:space="0" w:color="auto"/>
              <w:right w:val="single" w:sz="4" w:space="0" w:color="auto"/>
            </w:tcBorders>
            <w:vAlign w:val="center"/>
          </w:tcPr>
          <w:p w:rsidR="00725138" w:rsidRPr="00725138" w:rsidRDefault="00725138" w:rsidP="001213AB">
            <w:pPr>
              <w:jc w:val="center"/>
              <w:rPr>
                <w:sz w:val="22"/>
                <w:lang w:val="mk-MK"/>
              </w:rPr>
            </w:pPr>
          </w:p>
        </w:tc>
      </w:tr>
      <w:tr w:rsidR="00725138" w:rsidRPr="00462866" w:rsidTr="00725138">
        <w:tc>
          <w:tcPr>
            <w:tcW w:w="5778" w:type="dxa"/>
            <w:tcBorders>
              <w:top w:val="single" w:sz="4" w:space="0" w:color="auto"/>
              <w:left w:val="single" w:sz="4" w:space="0" w:color="auto"/>
              <w:bottom w:val="single" w:sz="4" w:space="0" w:color="auto"/>
              <w:right w:val="single" w:sz="4" w:space="0" w:color="auto"/>
            </w:tcBorders>
          </w:tcPr>
          <w:p w:rsidR="00725138" w:rsidRPr="00725138" w:rsidRDefault="00725138" w:rsidP="001213AB">
            <w:pPr>
              <w:pStyle w:val="ListParagraph"/>
              <w:numPr>
                <w:ilvl w:val="0"/>
                <w:numId w:val="2"/>
              </w:numPr>
              <w:contextualSpacing w:val="0"/>
              <w:jc w:val="both"/>
              <w:rPr>
                <w:sz w:val="22"/>
                <w:lang w:val="mk-MK"/>
              </w:rPr>
            </w:pPr>
            <w:r w:rsidRPr="00462866">
              <w:rPr>
                <w:sz w:val="22"/>
                <w:lang w:val="mk-MK"/>
              </w:rPr>
              <w:t>Просек</w:t>
            </w:r>
          </w:p>
        </w:tc>
        <w:tc>
          <w:tcPr>
            <w:tcW w:w="1559" w:type="dxa"/>
            <w:tcBorders>
              <w:top w:val="single" w:sz="4" w:space="0" w:color="auto"/>
              <w:left w:val="single" w:sz="4" w:space="0" w:color="auto"/>
              <w:bottom w:val="single" w:sz="4" w:space="0" w:color="auto"/>
              <w:right w:val="single" w:sz="4" w:space="0" w:color="auto"/>
            </w:tcBorders>
            <w:vAlign w:val="center"/>
          </w:tcPr>
          <w:p w:rsidR="00725138" w:rsidRPr="003D0252" w:rsidRDefault="00725138" w:rsidP="001213AB">
            <w:pPr>
              <w:jc w:val="center"/>
              <w:rPr>
                <w:sz w:val="22"/>
              </w:rPr>
            </w:pPr>
            <w:r w:rsidRPr="00462866">
              <w:rPr>
                <w:sz w:val="22"/>
                <w:lang w:val="mk-MK"/>
              </w:rPr>
              <w:t>25,</w:t>
            </w:r>
            <w:r w:rsidR="003D0252">
              <w:rPr>
                <w:sz w:val="22"/>
              </w:rPr>
              <w:t>3</w:t>
            </w:r>
          </w:p>
        </w:tc>
        <w:tc>
          <w:tcPr>
            <w:tcW w:w="1797" w:type="dxa"/>
            <w:tcBorders>
              <w:top w:val="single" w:sz="4" w:space="0" w:color="auto"/>
              <w:left w:val="single" w:sz="4" w:space="0" w:color="auto"/>
              <w:bottom w:val="single" w:sz="4" w:space="0" w:color="auto"/>
              <w:right w:val="single" w:sz="4" w:space="0" w:color="auto"/>
            </w:tcBorders>
            <w:vAlign w:val="center"/>
          </w:tcPr>
          <w:p w:rsidR="00725138" w:rsidRPr="00725138" w:rsidRDefault="00725138" w:rsidP="001213AB">
            <w:pPr>
              <w:jc w:val="center"/>
              <w:rPr>
                <w:sz w:val="22"/>
                <w:lang w:val="mk-MK"/>
              </w:rPr>
            </w:pPr>
            <w:r w:rsidRPr="00462866">
              <w:rPr>
                <w:sz w:val="22"/>
                <w:lang w:val="mk-MK"/>
              </w:rPr>
              <w:t>1</w:t>
            </w:r>
            <w:r w:rsidR="003D0252">
              <w:rPr>
                <w:sz w:val="22"/>
                <w:lang w:val="mk-MK"/>
              </w:rPr>
              <w:t>1</w:t>
            </w:r>
            <w:r w:rsidRPr="00462866">
              <w:rPr>
                <w:sz w:val="22"/>
                <w:lang w:val="mk-MK"/>
              </w:rPr>
              <w:t>,9</w:t>
            </w:r>
          </w:p>
        </w:tc>
      </w:tr>
      <w:tr w:rsidR="00725138" w:rsidRPr="00462866" w:rsidTr="00725138">
        <w:tc>
          <w:tcPr>
            <w:tcW w:w="5778" w:type="dxa"/>
            <w:tcBorders>
              <w:top w:val="single" w:sz="4" w:space="0" w:color="auto"/>
              <w:left w:val="single" w:sz="4" w:space="0" w:color="auto"/>
              <w:bottom w:val="single" w:sz="4" w:space="0" w:color="auto"/>
              <w:right w:val="single" w:sz="4" w:space="0" w:color="auto"/>
            </w:tcBorders>
          </w:tcPr>
          <w:p w:rsidR="00725138" w:rsidRPr="00725138" w:rsidRDefault="00725138" w:rsidP="001213AB">
            <w:pPr>
              <w:pStyle w:val="ListParagraph"/>
              <w:numPr>
                <w:ilvl w:val="0"/>
                <w:numId w:val="2"/>
              </w:numPr>
              <w:contextualSpacing w:val="0"/>
              <w:jc w:val="both"/>
              <w:rPr>
                <w:sz w:val="22"/>
                <w:lang w:val="mk-MK"/>
              </w:rPr>
            </w:pPr>
            <w:r w:rsidRPr="00462866">
              <w:rPr>
                <w:sz w:val="22"/>
                <w:lang w:val="mk-MK"/>
              </w:rPr>
              <w:t>Медијана</w:t>
            </w:r>
          </w:p>
        </w:tc>
        <w:tc>
          <w:tcPr>
            <w:tcW w:w="1559" w:type="dxa"/>
            <w:tcBorders>
              <w:top w:val="single" w:sz="4" w:space="0" w:color="auto"/>
              <w:left w:val="single" w:sz="4" w:space="0" w:color="auto"/>
              <w:bottom w:val="single" w:sz="4" w:space="0" w:color="auto"/>
              <w:right w:val="single" w:sz="4" w:space="0" w:color="auto"/>
            </w:tcBorders>
            <w:vAlign w:val="center"/>
          </w:tcPr>
          <w:p w:rsidR="00725138" w:rsidRPr="003D0252" w:rsidRDefault="003D0252" w:rsidP="001213AB">
            <w:pPr>
              <w:jc w:val="center"/>
              <w:rPr>
                <w:sz w:val="22"/>
              </w:rPr>
            </w:pPr>
            <w:r>
              <w:rPr>
                <w:sz w:val="22"/>
              </w:rPr>
              <w:t>15</w:t>
            </w:r>
          </w:p>
        </w:tc>
        <w:tc>
          <w:tcPr>
            <w:tcW w:w="1797" w:type="dxa"/>
            <w:tcBorders>
              <w:top w:val="single" w:sz="4" w:space="0" w:color="auto"/>
              <w:left w:val="single" w:sz="4" w:space="0" w:color="auto"/>
              <w:bottom w:val="single" w:sz="4" w:space="0" w:color="auto"/>
              <w:right w:val="single" w:sz="4" w:space="0" w:color="auto"/>
            </w:tcBorders>
            <w:vAlign w:val="center"/>
          </w:tcPr>
          <w:p w:rsidR="00725138" w:rsidRPr="00725138" w:rsidRDefault="003D0252" w:rsidP="001213AB">
            <w:pPr>
              <w:jc w:val="center"/>
              <w:rPr>
                <w:sz w:val="22"/>
                <w:lang w:val="mk-MK"/>
              </w:rPr>
            </w:pPr>
            <w:r>
              <w:rPr>
                <w:sz w:val="22"/>
                <w:lang w:val="mk-MK"/>
              </w:rPr>
              <w:t>7</w:t>
            </w:r>
          </w:p>
        </w:tc>
      </w:tr>
      <w:tr w:rsidR="00725138" w:rsidRPr="00462866" w:rsidTr="00725138">
        <w:tc>
          <w:tcPr>
            <w:tcW w:w="5778" w:type="dxa"/>
            <w:tcBorders>
              <w:top w:val="single" w:sz="4" w:space="0" w:color="auto"/>
              <w:left w:val="single" w:sz="4" w:space="0" w:color="auto"/>
              <w:bottom w:val="single" w:sz="4" w:space="0" w:color="auto"/>
              <w:right w:val="single" w:sz="4" w:space="0" w:color="auto"/>
            </w:tcBorders>
          </w:tcPr>
          <w:p w:rsidR="00725138" w:rsidRPr="00725138" w:rsidRDefault="00725138" w:rsidP="001213AB">
            <w:pPr>
              <w:pStyle w:val="ListParagraph"/>
              <w:numPr>
                <w:ilvl w:val="0"/>
                <w:numId w:val="2"/>
              </w:numPr>
              <w:contextualSpacing w:val="0"/>
              <w:jc w:val="both"/>
              <w:rPr>
                <w:sz w:val="22"/>
                <w:lang w:val="mk-MK"/>
              </w:rPr>
            </w:pPr>
            <w:r w:rsidRPr="00462866">
              <w:rPr>
                <w:sz w:val="22"/>
                <w:lang w:val="mk-MK"/>
              </w:rPr>
              <w:t>Максимум</w:t>
            </w:r>
          </w:p>
        </w:tc>
        <w:tc>
          <w:tcPr>
            <w:tcW w:w="1559" w:type="dxa"/>
            <w:tcBorders>
              <w:top w:val="single" w:sz="4" w:space="0" w:color="auto"/>
              <w:left w:val="single" w:sz="4" w:space="0" w:color="auto"/>
              <w:bottom w:val="single" w:sz="4" w:space="0" w:color="auto"/>
              <w:right w:val="single" w:sz="4" w:space="0" w:color="auto"/>
            </w:tcBorders>
            <w:vAlign w:val="center"/>
          </w:tcPr>
          <w:p w:rsidR="00725138" w:rsidRPr="003D0252" w:rsidRDefault="00725138" w:rsidP="001213AB">
            <w:pPr>
              <w:jc w:val="center"/>
              <w:rPr>
                <w:sz w:val="22"/>
              </w:rPr>
            </w:pPr>
            <w:r w:rsidRPr="00462866">
              <w:rPr>
                <w:sz w:val="22"/>
                <w:lang w:val="mk-MK"/>
              </w:rPr>
              <w:t>10</w:t>
            </w:r>
            <w:r w:rsidR="003D0252">
              <w:rPr>
                <w:sz w:val="22"/>
              </w:rPr>
              <w:t>5</w:t>
            </w:r>
          </w:p>
        </w:tc>
        <w:tc>
          <w:tcPr>
            <w:tcW w:w="1797" w:type="dxa"/>
            <w:tcBorders>
              <w:top w:val="single" w:sz="4" w:space="0" w:color="auto"/>
              <w:left w:val="single" w:sz="4" w:space="0" w:color="auto"/>
              <w:bottom w:val="single" w:sz="4" w:space="0" w:color="auto"/>
              <w:right w:val="single" w:sz="4" w:space="0" w:color="auto"/>
            </w:tcBorders>
            <w:vAlign w:val="center"/>
          </w:tcPr>
          <w:p w:rsidR="00725138" w:rsidRPr="00725138" w:rsidRDefault="003D0252" w:rsidP="001213AB">
            <w:pPr>
              <w:jc w:val="center"/>
              <w:rPr>
                <w:sz w:val="22"/>
                <w:lang w:val="mk-MK"/>
              </w:rPr>
            </w:pPr>
            <w:r>
              <w:rPr>
                <w:sz w:val="22"/>
                <w:lang w:val="mk-MK"/>
              </w:rPr>
              <w:t>58</w:t>
            </w:r>
          </w:p>
        </w:tc>
      </w:tr>
      <w:tr w:rsidR="00725138" w:rsidRPr="00462866" w:rsidTr="00725138">
        <w:tc>
          <w:tcPr>
            <w:tcW w:w="5778" w:type="dxa"/>
            <w:tcBorders>
              <w:top w:val="single" w:sz="4" w:space="0" w:color="auto"/>
              <w:left w:val="single" w:sz="4" w:space="0" w:color="auto"/>
              <w:bottom w:val="single" w:sz="4" w:space="0" w:color="auto"/>
              <w:right w:val="single" w:sz="4" w:space="0" w:color="auto"/>
            </w:tcBorders>
          </w:tcPr>
          <w:p w:rsidR="00725138" w:rsidRPr="00725138" w:rsidRDefault="00725138" w:rsidP="001213AB">
            <w:pPr>
              <w:pStyle w:val="ListParagraph"/>
              <w:numPr>
                <w:ilvl w:val="0"/>
                <w:numId w:val="2"/>
              </w:numPr>
              <w:contextualSpacing w:val="0"/>
              <w:jc w:val="both"/>
              <w:rPr>
                <w:sz w:val="22"/>
                <w:lang w:val="mk-MK"/>
              </w:rPr>
            </w:pPr>
            <w:r w:rsidRPr="00462866">
              <w:rPr>
                <w:sz w:val="22"/>
                <w:lang w:val="mk-MK"/>
              </w:rPr>
              <w:t>Минимум</w:t>
            </w:r>
          </w:p>
        </w:tc>
        <w:tc>
          <w:tcPr>
            <w:tcW w:w="1559" w:type="dxa"/>
            <w:tcBorders>
              <w:top w:val="single" w:sz="4" w:space="0" w:color="auto"/>
              <w:left w:val="single" w:sz="4" w:space="0" w:color="auto"/>
              <w:bottom w:val="single" w:sz="4" w:space="0" w:color="auto"/>
              <w:right w:val="single" w:sz="4" w:space="0" w:color="auto"/>
            </w:tcBorders>
            <w:vAlign w:val="center"/>
          </w:tcPr>
          <w:p w:rsidR="00725138" w:rsidRPr="003D0252" w:rsidRDefault="003D0252" w:rsidP="001213AB">
            <w:pPr>
              <w:jc w:val="center"/>
              <w:rPr>
                <w:sz w:val="22"/>
              </w:rPr>
            </w:pPr>
            <w:r>
              <w:rPr>
                <w:sz w:val="22"/>
              </w:rPr>
              <w:t>4</w:t>
            </w:r>
          </w:p>
        </w:tc>
        <w:tc>
          <w:tcPr>
            <w:tcW w:w="1797" w:type="dxa"/>
            <w:tcBorders>
              <w:top w:val="single" w:sz="4" w:space="0" w:color="auto"/>
              <w:left w:val="single" w:sz="4" w:space="0" w:color="auto"/>
              <w:bottom w:val="single" w:sz="4" w:space="0" w:color="auto"/>
              <w:right w:val="single" w:sz="4" w:space="0" w:color="auto"/>
            </w:tcBorders>
            <w:vAlign w:val="center"/>
          </w:tcPr>
          <w:p w:rsidR="00725138" w:rsidRPr="00725138" w:rsidRDefault="00725138" w:rsidP="001213AB">
            <w:pPr>
              <w:jc w:val="center"/>
              <w:rPr>
                <w:sz w:val="22"/>
                <w:lang w:val="mk-MK"/>
              </w:rPr>
            </w:pPr>
            <w:r w:rsidRPr="00462866">
              <w:rPr>
                <w:sz w:val="22"/>
                <w:lang w:val="mk-MK"/>
              </w:rPr>
              <w:t>1</w:t>
            </w:r>
          </w:p>
        </w:tc>
      </w:tr>
      <w:tr w:rsidR="00725138" w:rsidRPr="00462866" w:rsidTr="00725138">
        <w:tc>
          <w:tcPr>
            <w:tcW w:w="5778" w:type="dxa"/>
            <w:tcBorders>
              <w:top w:val="single" w:sz="4" w:space="0" w:color="auto"/>
              <w:left w:val="single" w:sz="4" w:space="0" w:color="auto"/>
              <w:bottom w:val="single" w:sz="4" w:space="0" w:color="auto"/>
              <w:right w:val="single" w:sz="4" w:space="0" w:color="auto"/>
            </w:tcBorders>
          </w:tcPr>
          <w:p w:rsidR="00725138" w:rsidRPr="00725138" w:rsidRDefault="00725138" w:rsidP="001213AB">
            <w:pPr>
              <w:pStyle w:val="ListParagraph"/>
              <w:ind w:left="780" w:hanging="360"/>
              <w:rPr>
                <w:sz w:val="22"/>
                <w:lang w:val="mk-MK"/>
              </w:rPr>
            </w:pPr>
            <w:r w:rsidRPr="00462866">
              <w:rPr>
                <w:sz w:val="22"/>
                <w:lang w:val="mk-MK"/>
              </w:rPr>
              <w:t>Во годишниот извештај компанијата им се обраќа директно на акционерите</w:t>
            </w:r>
            <w:r w:rsidRPr="00F5098D">
              <w:rPr>
                <w:sz w:val="22"/>
                <w:lang w:val="mk-MK"/>
              </w:rPr>
              <w:t xml:space="preserve"> (</w:t>
            </w:r>
            <w:r w:rsidRPr="00462866">
              <w:rPr>
                <w:sz w:val="22"/>
                <w:lang w:val="mk-MK"/>
              </w:rPr>
              <w:t>бр. на компании)</w:t>
            </w:r>
          </w:p>
        </w:tc>
        <w:tc>
          <w:tcPr>
            <w:tcW w:w="1559" w:type="dxa"/>
            <w:tcBorders>
              <w:top w:val="single" w:sz="4" w:space="0" w:color="auto"/>
              <w:left w:val="single" w:sz="4" w:space="0" w:color="auto"/>
              <w:bottom w:val="single" w:sz="4" w:space="0" w:color="auto"/>
              <w:right w:val="single" w:sz="4" w:space="0" w:color="auto"/>
            </w:tcBorders>
            <w:vAlign w:val="center"/>
          </w:tcPr>
          <w:p w:rsidR="00725138" w:rsidRPr="003D0252" w:rsidRDefault="003D0252" w:rsidP="001213AB">
            <w:pPr>
              <w:jc w:val="center"/>
              <w:rPr>
                <w:sz w:val="22"/>
                <w:lang w:val="mk-MK"/>
              </w:rPr>
            </w:pPr>
            <w:r>
              <w:rPr>
                <w:sz w:val="22"/>
                <w:lang w:val="mk-MK"/>
              </w:rPr>
              <w:t>6</w:t>
            </w:r>
            <w:r>
              <w:rPr>
                <w:sz w:val="22"/>
              </w:rPr>
              <w:t xml:space="preserve"> </w:t>
            </w:r>
            <w:r>
              <w:rPr>
                <w:sz w:val="22"/>
                <w:lang w:val="mk-MK"/>
              </w:rPr>
              <w:t>од 25</w:t>
            </w:r>
          </w:p>
        </w:tc>
        <w:tc>
          <w:tcPr>
            <w:tcW w:w="1797" w:type="dxa"/>
            <w:tcBorders>
              <w:top w:val="single" w:sz="4" w:space="0" w:color="auto"/>
              <w:left w:val="single" w:sz="4" w:space="0" w:color="auto"/>
              <w:bottom w:val="single" w:sz="4" w:space="0" w:color="auto"/>
              <w:right w:val="single" w:sz="4" w:space="0" w:color="auto"/>
            </w:tcBorders>
            <w:vAlign w:val="center"/>
          </w:tcPr>
          <w:p w:rsidR="00725138" w:rsidRPr="00725138" w:rsidRDefault="003D0252" w:rsidP="001213AB">
            <w:pPr>
              <w:jc w:val="center"/>
              <w:rPr>
                <w:sz w:val="22"/>
                <w:lang w:val="mk-MK"/>
              </w:rPr>
            </w:pPr>
            <w:r>
              <w:rPr>
                <w:sz w:val="22"/>
                <w:lang w:val="mk-MK"/>
              </w:rPr>
              <w:t>7</w:t>
            </w:r>
            <w:r w:rsidR="00725138" w:rsidRPr="00462866">
              <w:rPr>
                <w:sz w:val="22"/>
                <w:lang w:val="mk-MK"/>
              </w:rPr>
              <w:t xml:space="preserve"> од 6</w:t>
            </w:r>
            <w:r>
              <w:rPr>
                <w:sz w:val="22"/>
                <w:lang w:val="mk-MK"/>
              </w:rPr>
              <w:t>3</w:t>
            </w:r>
          </w:p>
        </w:tc>
      </w:tr>
      <w:tr w:rsidR="00725138" w:rsidRPr="00462866" w:rsidTr="00725138">
        <w:tc>
          <w:tcPr>
            <w:tcW w:w="5778" w:type="dxa"/>
            <w:tcBorders>
              <w:top w:val="single" w:sz="4" w:space="0" w:color="auto"/>
              <w:left w:val="single" w:sz="4" w:space="0" w:color="auto"/>
              <w:bottom w:val="single" w:sz="4" w:space="0" w:color="auto"/>
              <w:right w:val="single" w:sz="4" w:space="0" w:color="auto"/>
            </w:tcBorders>
          </w:tcPr>
          <w:p w:rsidR="00725138" w:rsidRPr="00725138" w:rsidRDefault="00725138" w:rsidP="001213AB">
            <w:pPr>
              <w:pStyle w:val="ListParagraph"/>
              <w:ind w:left="780" w:hanging="360"/>
              <w:rPr>
                <w:sz w:val="22"/>
                <w:lang w:val="mk-MK"/>
              </w:rPr>
            </w:pPr>
            <w:r w:rsidRPr="00462866">
              <w:rPr>
                <w:sz w:val="22"/>
                <w:lang w:val="mk-MK"/>
              </w:rPr>
              <w:t>Во годишниот извештај има осврт на пазарот на нивните акции (бр. на компании)</w:t>
            </w:r>
          </w:p>
        </w:tc>
        <w:tc>
          <w:tcPr>
            <w:tcW w:w="1559" w:type="dxa"/>
            <w:tcBorders>
              <w:top w:val="single" w:sz="4" w:space="0" w:color="auto"/>
              <w:left w:val="single" w:sz="4" w:space="0" w:color="auto"/>
              <w:bottom w:val="single" w:sz="4" w:space="0" w:color="auto"/>
              <w:right w:val="single" w:sz="4" w:space="0" w:color="auto"/>
            </w:tcBorders>
            <w:vAlign w:val="center"/>
          </w:tcPr>
          <w:p w:rsidR="00725138" w:rsidRPr="003D0252" w:rsidRDefault="003D0252" w:rsidP="001213AB">
            <w:pPr>
              <w:jc w:val="center"/>
              <w:rPr>
                <w:sz w:val="22"/>
                <w:lang w:val="mk-MK"/>
              </w:rPr>
            </w:pPr>
            <w:r>
              <w:rPr>
                <w:sz w:val="22"/>
              </w:rPr>
              <w:t>3</w:t>
            </w:r>
            <w:r>
              <w:rPr>
                <w:sz w:val="22"/>
                <w:lang w:val="mk-MK"/>
              </w:rPr>
              <w:t xml:space="preserve"> од 25</w:t>
            </w:r>
          </w:p>
        </w:tc>
        <w:tc>
          <w:tcPr>
            <w:tcW w:w="1797" w:type="dxa"/>
            <w:tcBorders>
              <w:top w:val="single" w:sz="4" w:space="0" w:color="auto"/>
              <w:left w:val="single" w:sz="4" w:space="0" w:color="auto"/>
              <w:bottom w:val="single" w:sz="4" w:space="0" w:color="auto"/>
              <w:right w:val="single" w:sz="4" w:space="0" w:color="auto"/>
            </w:tcBorders>
            <w:vAlign w:val="center"/>
          </w:tcPr>
          <w:p w:rsidR="00725138" w:rsidRPr="00725138" w:rsidRDefault="003D0252" w:rsidP="001213AB">
            <w:pPr>
              <w:jc w:val="center"/>
              <w:rPr>
                <w:sz w:val="22"/>
                <w:lang w:val="mk-MK"/>
              </w:rPr>
            </w:pPr>
            <w:r>
              <w:rPr>
                <w:sz w:val="22"/>
                <w:lang w:val="mk-MK"/>
              </w:rPr>
              <w:t>1</w:t>
            </w:r>
            <w:r w:rsidR="00725138" w:rsidRPr="00462866">
              <w:rPr>
                <w:sz w:val="22"/>
                <w:lang w:val="mk-MK"/>
              </w:rPr>
              <w:t xml:space="preserve"> од 6</w:t>
            </w:r>
            <w:r>
              <w:rPr>
                <w:sz w:val="22"/>
                <w:lang w:val="mk-MK"/>
              </w:rPr>
              <w:t>3</w:t>
            </w:r>
          </w:p>
        </w:tc>
      </w:tr>
    </w:tbl>
    <w:p w:rsidR="001E458E" w:rsidRDefault="001E458E" w:rsidP="001213AB">
      <w:pPr>
        <w:spacing w:line="276" w:lineRule="auto"/>
        <w:rPr>
          <w:szCs w:val="24"/>
          <w:lang w:val="mk-MK"/>
        </w:rPr>
      </w:pPr>
    </w:p>
    <w:p w:rsidR="00725138" w:rsidRDefault="00516264" w:rsidP="001213AB">
      <w:pPr>
        <w:spacing w:line="276" w:lineRule="auto"/>
        <w:jc w:val="both"/>
        <w:rPr>
          <w:szCs w:val="24"/>
          <w:lang w:val="mk-MK"/>
        </w:rPr>
      </w:pPr>
      <w:r>
        <w:rPr>
          <w:szCs w:val="24"/>
          <w:lang w:val="mk-MK"/>
        </w:rPr>
        <w:tab/>
        <w:t xml:space="preserve">Од табелата може да се види дека односот н акомпаниите кон информирање на нивните и потенцијалните акционери е </w:t>
      </w:r>
      <w:r w:rsidR="000A0C55" w:rsidRPr="000A0C55">
        <w:rPr>
          <w:lang w:val="mk-MK"/>
        </w:rPr>
        <w:t>с</w:t>
      </w:r>
      <w:r w:rsidR="000A0C55" w:rsidRPr="000A0C55">
        <w:rPr>
          <w:szCs w:val="24"/>
        </w:rPr>
        <w:t>è</w:t>
      </w:r>
      <w:r>
        <w:rPr>
          <w:szCs w:val="24"/>
          <w:lang w:val="mk-MK"/>
        </w:rPr>
        <w:t xml:space="preserve"> уште на рудиментарно ниво. Годишните извештаи, кои во развиените економии претставуваат и облик на маркетиншко претставување на компанијата и се предмет на постојано иновирање, кај нас се сфаќаат прилично формално. Со закон е пропишана нивната структура, но евидентно е дека и тоа не се почитува, со оглед на малиот број страници кај добар дел од нив.</w:t>
      </w:r>
    </w:p>
    <w:p w:rsidR="00516264" w:rsidRPr="00462866" w:rsidRDefault="00516264" w:rsidP="001213AB">
      <w:pPr>
        <w:spacing w:line="276" w:lineRule="auto"/>
        <w:ind w:firstLine="720"/>
        <w:jc w:val="both"/>
        <w:rPr>
          <w:lang w:val="mk-MK"/>
        </w:rPr>
      </w:pPr>
      <w:r w:rsidRPr="00462866">
        <w:rPr>
          <w:lang w:val="mk-MK"/>
        </w:rPr>
        <w:t>Уште попоразително е тоа што компаниите во овие извештаи многу ретко им се обраќаат на своите акционери. Имено, во развиените пазарни економии вообичаена пракса е извештајот да започнува со т.н. „Порака до акционерите“ од страна на главниот извршен директор, а и во извештајот да се зборува за создавањето вредност во полза на акционерите. Дополнително, фактот дека само во неколку од овие извештаи се содржани информации за тековното движење на цените на акциите ни укажува дека компаниите не водат многу сметка за пазарот како независен евалуатор на нивните перформанси.</w:t>
      </w:r>
    </w:p>
    <w:p w:rsidR="00516264" w:rsidRPr="00516264" w:rsidRDefault="00516264" w:rsidP="001213AB">
      <w:pPr>
        <w:spacing w:line="276" w:lineRule="auto"/>
        <w:jc w:val="both"/>
        <w:rPr>
          <w:szCs w:val="24"/>
          <w:lang w:val="mk-MK"/>
        </w:rPr>
      </w:pPr>
      <w:r>
        <w:rPr>
          <w:szCs w:val="24"/>
        </w:rPr>
        <w:tab/>
      </w:r>
      <w:r>
        <w:rPr>
          <w:szCs w:val="24"/>
          <w:lang w:val="mk-MK"/>
        </w:rPr>
        <w:t xml:space="preserve">Во табелата бр. 4 се сумирани резултатите во поглед на она што компаниите најчесто го споменуваат како своја цел во работењето. Напоменувам дека еден дел од овие </w:t>
      </w:r>
      <w:r w:rsidR="007E3841">
        <w:rPr>
          <w:szCs w:val="24"/>
          <w:lang w:val="mk-MK"/>
        </w:rPr>
        <w:t>сознанија се извлечени имплицитно, односно компанијата не ја навела својата цел во експлицитна форма ниту во извештајотм ниту на веб-страницата.</w:t>
      </w:r>
      <w:r>
        <w:rPr>
          <w:szCs w:val="24"/>
          <w:lang w:val="mk-MK"/>
        </w:rPr>
        <w:t xml:space="preserve"> </w:t>
      </w:r>
    </w:p>
    <w:p w:rsidR="00725138" w:rsidRDefault="00725138" w:rsidP="001213AB">
      <w:pPr>
        <w:spacing w:line="276" w:lineRule="auto"/>
        <w:rPr>
          <w:szCs w:val="24"/>
          <w:lang w:val="mk-MK"/>
        </w:rPr>
      </w:pPr>
    </w:p>
    <w:p w:rsidR="00725138" w:rsidRPr="00427796" w:rsidRDefault="00725138" w:rsidP="001213AB">
      <w:pPr>
        <w:spacing w:line="276" w:lineRule="auto"/>
        <w:jc w:val="both"/>
        <w:rPr>
          <w:sz w:val="22"/>
          <w:lang w:val="mk-MK"/>
        </w:rPr>
      </w:pPr>
      <w:r w:rsidRPr="00427796">
        <w:rPr>
          <w:sz w:val="22"/>
          <w:lang w:val="mk-MK"/>
        </w:rPr>
        <w:t xml:space="preserve">Табела </w:t>
      </w:r>
      <w:r w:rsidR="00427796" w:rsidRPr="00427796">
        <w:rPr>
          <w:sz w:val="22"/>
          <w:lang w:val="mk-MK"/>
        </w:rPr>
        <w:t xml:space="preserve">3: </w:t>
      </w:r>
      <w:r w:rsidRPr="00427796">
        <w:rPr>
          <w:sz w:val="22"/>
          <w:lang w:val="mk-MK"/>
        </w:rPr>
        <w:t>Цели на работењето кај македонските котирани компании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984"/>
        <w:gridCol w:w="2091"/>
      </w:tblGrid>
      <w:tr w:rsidR="00725138" w:rsidRPr="00462866" w:rsidTr="0041760A">
        <w:tc>
          <w:tcPr>
            <w:tcW w:w="4928" w:type="dxa"/>
            <w:vMerge w:val="restart"/>
            <w:vAlign w:val="center"/>
          </w:tcPr>
          <w:p w:rsidR="00725138" w:rsidRPr="00462866" w:rsidRDefault="00725138" w:rsidP="001213AB">
            <w:pPr>
              <w:jc w:val="center"/>
              <w:rPr>
                <w:b/>
                <w:bCs/>
                <w:lang w:val="mk-MK"/>
              </w:rPr>
            </w:pPr>
            <w:r w:rsidRPr="00462866">
              <w:rPr>
                <w:b/>
                <w:bCs/>
                <w:lang w:val="mk-MK"/>
              </w:rPr>
              <w:t>Целта најмногу се однесува на:</w:t>
            </w:r>
          </w:p>
        </w:tc>
        <w:tc>
          <w:tcPr>
            <w:tcW w:w="1984" w:type="dxa"/>
            <w:vAlign w:val="center"/>
          </w:tcPr>
          <w:p w:rsidR="00725138" w:rsidRPr="00462866" w:rsidRDefault="00725138" w:rsidP="001213AB">
            <w:pPr>
              <w:jc w:val="center"/>
              <w:rPr>
                <w:b/>
                <w:bCs/>
                <w:lang w:val="mk-MK"/>
              </w:rPr>
            </w:pPr>
            <w:r w:rsidRPr="00462866">
              <w:rPr>
                <w:b/>
                <w:bCs/>
                <w:sz w:val="22"/>
                <w:lang w:val="mk-MK"/>
              </w:rPr>
              <w:t>Берзанска котација</w:t>
            </w:r>
          </w:p>
        </w:tc>
        <w:tc>
          <w:tcPr>
            <w:tcW w:w="2091" w:type="dxa"/>
            <w:vAlign w:val="center"/>
          </w:tcPr>
          <w:p w:rsidR="00725138" w:rsidRPr="00462866" w:rsidRDefault="00725138" w:rsidP="001213AB">
            <w:pPr>
              <w:jc w:val="center"/>
              <w:rPr>
                <w:b/>
                <w:bCs/>
                <w:lang w:val="mk-MK"/>
              </w:rPr>
            </w:pPr>
            <w:r w:rsidRPr="00462866">
              <w:rPr>
                <w:b/>
                <w:bCs/>
                <w:sz w:val="22"/>
                <w:lang w:val="mk-MK"/>
              </w:rPr>
              <w:t>Задолжителна котација</w:t>
            </w:r>
          </w:p>
        </w:tc>
      </w:tr>
      <w:tr w:rsidR="00725138" w:rsidRPr="00462866" w:rsidTr="0041760A">
        <w:tc>
          <w:tcPr>
            <w:tcW w:w="4928" w:type="dxa"/>
            <w:vMerge/>
          </w:tcPr>
          <w:p w:rsidR="00725138" w:rsidRPr="00462866" w:rsidRDefault="00725138" w:rsidP="001213AB">
            <w:pPr>
              <w:pStyle w:val="ListParagraph"/>
              <w:ind w:left="780"/>
              <w:jc w:val="both"/>
              <w:rPr>
                <w:lang w:val="mk-MK"/>
              </w:rPr>
            </w:pPr>
          </w:p>
        </w:tc>
        <w:tc>
          <w:tcPr>
            <w:tcW w:w="1984" w:type="dxa"/>
          </w:tcPr>
          <w:p w:rsidR="00725138" w:rsidRPr="00462866" w:rsidRDefault="00725138" w:rsidP="001213AB">
            <w:pPr>
              <w:jc w:val="center"/>
              <w:rPr>
                <w:sz w:val="22"/>
                <w:lang w:val="mk-MK"/>
              </w:rPr>
            </w:pPr>
            <w:r w:rsidRPr="00462866">
              <w:rPr>
                <w:sz w:val="22"/>
                <w:lang w:val="mk-MK"/>
              </w:rPr>
              <w:t>Број на компании</w:t>
            </w:r>
          </w:p>
        </w:tc>
        <w:tc>
          <w:tcPr>
            <w:tcW w:w="2091" w:type="dxa"/>
          </w:tcPr>
          <w:p w:rsidR="00725138" w:rsidRPr="00462866" w:rsidRDefault="00725138" w:rsidP="001213AB">
            <w:pPr>
              <w:jc w:val="center"/>
              <w:rPr>
                <w:lang w:val="mk-MK"/>
              </w:rPr>
            </w:pPr>
            <w:r w:rsidRPr="00462866">
              <w:rPr>
                <w:sz w:val="22"/>
                <w:lang w:val="mk-MK"/>
              </w:rPr>
              <w:t>Број на компании</w:t>
            </w:r>
          </w:p>
        </w:tc>
      </w:tr>
      <w:tr w:rsidR="00725138" w:rsidRPr="00462866" w:rsidTr="0041760A">
        <w:tc>
          <w:tcPr>
            <w:tcW w:w="4928" w:type="dxa"/>
          </w:tcPr>
          <w:p w:rsidR="00725138" w:rsidRPr="00462866" w:rsidRDefault="00725138" w:rsidP="001213AB">
            <w:pPr>
              <w:pStyle w:val="ListParagraph"/>
              <w:numPr>
                <w:ilvl w:val="0"/>
                <w:numId w:val="2"/>
              </w:numPr>
              <w:contextualSpacing w:val="0"/>
              <w:jc w:val="both"/>
              <w:rPr>
                <w:lang w:val="mk-MK"/>
              </w:rPr>
            </w:pPr>
            <w:r w:rsidRPr="00462866">
              <w:rPr>
                <w:lang w:val="mk-MK"/>
              </w:rPr>
              <w:t>Максимизација на вредноста</w:t>
            </w:r>
          </w:p>
        </w:tc>
        <w:tc>
          <w:tcPr>
            <w:tcW w:w="1984" w:type="dxa"/>
          </w:tcPr>
          <w:p w:rsidR="00725138" w:rsidRPr="00462866" w:rsidRDefault="003D0252" w:rsidP="001213AB">
            <w:pPr>
              <w:jc w:val="center"/>
              <w:rPr>
                <w:lang w:val="mk-MK"/>
              </w:rPr>
            </w:pPr>
            <w:r>
              <w:rPr>
                <w:lang w:val="mk-MK"/>
              </w:rPr>
              <w:t>1</w:t>
            </w:r>
          </w:p>
        </w:tc>
        <w:tc>
          <w:tcPr>
            <w:tcW w:w="2091" w:type="dxa"/>
          </w:tcPr>
          <w:p w:rsidR="00725138" w:rsidRPr="00462866" w:rsidRDefault="00725138" w:rsidP="001213AB">
            <w:pPr>
              <w:jc w:val="center"/>
              <w:rPr>
                <w:lang w:val="mk-MK"/>
              </w:rPr>
            </w:pPr>
          </w:p>
        </w:tc>
      </w:tr>
      <w:tr w:rsidR="00725138" w:rsidRPr="00462866" w:rsidTr="0041760A">
        <w:tc>
          <w:tcPr>
            <w:tcW w:w="4928" w:type="dxa"/>
          </w:tcPr>
          <w:p w:rsidR="00725138" w:rsidRPr="00462866" w:rsidRDefault="00725138" w:rsidP="001213AB">
            <w:pPr>
              <w:pStyle w:val="ListParagraph"/>
              <w:numPr>
                <w:ilvl w:val="0"/>
                <w:numId w:val="2"/>
              </w:numPr>
              <w:contextualSpacing w:val="0"/>
              <w:jc w:val="both"/>
              <w:rPr>
                <w:lang w:val="mk-MK"/>
              </w:rPr>
            </w:pPr>
            <w:r w:rsidRPr="00462866">
              <w:rPr>
                <w:lang w:val="mk-MK"/>
              </w:rPr>
              <w:t>Акционерите</w:t>
            </w:r>
          </w:p>
        </w:tc>
        <w:tc>
          <w:tcPr>
            <w:tcW w:w="1984" w:type="dxa"/>
          </w:tcPr>
          <w:p w:rsidR="00725138" w:rsidRPr="00462866" w:rsidRDefault="003D0252" w:rsidP="001213AB">
            <w:pPr>
              <w:jc w:val="center"/>
              <w:rPr>
                <w:lang w:val="mk-MK"/>
              </w:rPr>
            </w:pPr>
            <w:r>
              <w:rPr>
                <w:lang w:val="mk-MK"/>
              </w:rPr>
              <w:t>2</w:t>
            </w:r>
          </w:p>
        </w:tc>
        <w:tc>
          <w:tcPr>
            <w:tcW w:w="2091" w:type="dxa"/>
          </w:tcPr>
          <w:p w:rsidR="00725138" w:rsidRPr="00462866" w:rsidRDefault="00725138" w:rsidP="001213AB">
            <w:pPr>
              <w:jc w:val="center"/>
              <w:rPr>
                <w:lang w:val="mk-MK"/>
              </w:rPr>
            </w:pPr>
          </w:p>
        </w:tc>
      </w:tr>
      <w:tr w:rsidR="00725138" w:rsidRPr="00462866" w:rsidTr="0041760A">
        <w:tc>
          <w:tcPr>
            <w:tcW w:w="4928" w:type="dxa"/>
          </w:tcPr>
          <w:p w:rsidR="00725138" w:rsidRPr="00462866" w:rsidRDefault="00725138" w:rsidP="001213AB">
            <w:pPr>
              <w:pStyle w:val="ListParagraph"/>
              <w:numPr>
                <w:ilvl w:val="0"/>
                <w:numId w:val="2"/>
              </w:numPr>
              <w:contextualSpacing w:val="0"/>
              <w:jc w:val="both"/>
              <w:rPr>
                <w:lang w:val="mk-MK"/>
              </w:rPr>
            </w:pPr>
            <w:r w:rsidRPr="00462866">
              <w:rPr>
                <w:lang w:val="mk-MK"/>
              </w:rPr>
              <w:t>Стејкхолдерите</w:t>
            </w:r>
          </w:p>
        </w:tc>
        <w:tc>
          <w:tcPr>
            <w:tcW w:w="1984" w:type="dxa"/>
          </w:tcPr>
          <w:p w:rsidR="00725138" w:rsidRPr="00462866" w:rsidRDefault="003D0252" w:rsidP="001213AB">
            <w:pPr>
              <w:jc w:val="center"/>
              <w:rPr>
                <w:lang w:val="mk-MK"/>
              </w:rPr>
            </w:pPr>
            <w:r>
              <w:rPr>
                <w:lang w:val="mk-MK"/>
              </w:rPr>
              <w:t>5</w:t>
            </w:r>
          </w:p>
        </w:tc>
        <w:tc>
          <w:tcPr>
            <w:tcW w:w="2091" w:type="dxa"/>
          </w:tcPr>
          <w:p w:rsidR="00725138" w:rsidRPr="00462866" w:rsidRDefault="003D0252" w:rsidP="001213AB">
            <w:pPr>
              <w:jc w:val="center"/>
              <w:rPr>
                <w:lang w:val="mk-MK"/>
              </w:rPr>
            </w:pPr>
            <w:r>
              <w:rPr>
                <w:lang w:val="mk-MK"/>
              </w:rPr>
              <w:t>4</w:t>
            </w:r>
          </w:p>
        </w:tc>
      </w:tr>
      <w:tr w:rsidR="00725138" w:rsidRPr="00462866" w:rsidTr="0041760A">
        <w:tc>
          <w:tcPr>
            <w:tcW w:w="4928" w:type="dxa"/>
          </w:tcPr>
          <w:p w:rsidR="00725138" w:rsidRPr="00462866" w:rsidRDefault="00725138" w:rsidP="001213AB">
            <w:pPr>
              <w:pStyle w:val="ListParagraph"/>
              <w:numPr>
                <w:ilvl w:val="0"/>
                <w:numId w:val="2"/>
              </w:numPr>
              <w:contextualSpacing w:val="0"/>
              <w:jc w:val="both"/>
              <w:rPr>
                <w:lang w:val="mk-MK"/>
              </w:rPr>
            </w:pPr>
            <w:r w:rsidRPr="00462866">
              <w:rPr>
                <w:lang w:val="mk-MK"/>
              </w:rPr>
              <w:t>Максимизација на добивката</w:t>
            </w:r>
          </w:p>
        </w:tc>
        <w:tc>
          <w:tcPr>
            <w:tcW w:w="1984" w:type="dxa"/>
          </w:tcPr>
          <w:p w:rsidR="00725138" w:rsidRPr="00462866" w:rsidRDefault="003D0252" w:rsidP="001213AB">
            <w:pPr>
              <w:jc w:val="center"/>
              <w:rPr>
                <w:lang w:val="mk-MK"/>
              </w:rPr>
            </w:pPr>
            <w:r>
              <w:rPr>
                <w:lang w:val="mk-MK"/>
              </w:rPr>
              <w:t>6</w:t>
            </w:r>
          </w:p>
        </w:tc>
        <w:tc>
          <w:tcPr>
            <w:tcW w:w="2091" w:type="dxa"/>
          </w:tcPr>
          <w:p w:rsidR="00725138" w:rsidRPr="00462866" w:rsidRDefault="003D0252" w:rsidP="001213AB">
            <w:pPr>
              <w:jc w:val="center"/>
              <w:rPr>
                <w:lang w:val="mk-MK"/>
              </w:rPr>
            </w:pPr>
            <w:r>
              <w:rPr>
                <w:lang w:val="mk-MK"/>
              </w:rPr>
              <w:t>17</w:t>
            </w:r>
          </w:p>
        </w:tc>
      </w:tr>
      <w:tr w:rsidR="00725138" w:rsidRPr="00462866" w:rsidTr="0041760A">
        <w:tc>
          <w:tcPr>
            <w:tcW w:w="4928" w:type="dxa"/>
          </w:tcPr>
          <w:p w:rsidR="00725138" w:rsidRPr="00462866" w:rsidRDefault="00725138" w:rsidP="001213AB">
            <w:pPr>
              <w:pStyle w:val="ListParagraph"/>
              <w:numPr>
                <w:ilvl w:val="0"/>
                <w:numId w:val="2"/>
              </w:numPr>
              <w:contextualSpacing w:val="0"/>
              <w:jc w:val="both"/>
              <w:rPr>
                <w:lang w:val="mk-MK"/>
              </w:rPr>
            </w:pPr>
            <w:r w:rsidRPr="00462866">
              <w:rPr>
                <w:lang w:val="mk-MK"/>
              </w:rPr>
              <w:t>Приходи и пазар</w:t>
            </w:r>
          </w:p>
        </w:tc>
        <w:tc>
          <w:tcPr>
            <w:tcW w:w="1984" w:type="dxa"/>
          </w:tcPr>
          <w:p w:rsidR="00725138" w:rsidRPr="00462866" w:rsidRDefault="003D0252" w:rsidP="001213AB">
            <w:pPr>
              <w:jc w:val="center"/>
              <w:rPr>
                <w:lang w:val="mk-MK"/>
              </w:rPr>
            </w:pPr>
            <w:r>
              <w:rPr>
                <w:lang w:val="mk-MK"/>
              </w:rPr>
              <w:t>5</w:t>
            </w:r>
          </w:p>
        </w:tc>
        <w:tc>
          <w:tcPr>
            <w:tcW w:w="2091" w:type="dxa"/>
          </w:tcPr>
          <w:p w:rsidR="00725138" w:rsidRPr="00462866" w:rsidRDefault="003D0252" w:rsidP="001213AB">
            <w:pPr>
              <w:jc w:val="center"/>
              <w:rPr>
                <w:lang w:val="mk-MK"/>
              </w:rPr>
            </w:pPr>
            <w:r>
              <w:rPr>
                <w:lang w:val="mk-MK"/>
              </w:rPr>
              <w:t>10</w:t>
            </w:r>
          </w:p>
        </w:tc>
      </w:tr>
      <w:tr w:rsidR="00725138" w:rsidRPr="00462866" w:rsidTr="0041760A">
        <w:tc>
          <w:tcPr>
            <w:tcW w:w="4928" w:type="dxa"/>
          </w:tcPr>
          <w:p w:rsidR="00725138" w:rsidRPr="00462866" w:rsidRDefault="00725138" w:rsidP="001213AB">
            <w:pPr>
              <w:pStyle w:val="ListParagraph"/>
              <w:numPr>
                <w:ilvl w:val="0"/>
                <w:numId w:val="2"/>
              </w:numPr>
              <w:contextualSpacing w:val="0"/>
              <w:jc w:val="both"/>
              <w:rPr>
                <w:lang w:val="mk-MK"/>
              </w:rPr>
            </w:pPr>
            <w:r w:rsidRPr="00462866">
              <w:rPr>
                <w:lang w:val="mk-MK"/>
              </w:rPr>
              <w:t>Опстанок</w:t>
            </w:r>
          </w:p>
        </w:tc>
        <w:tc>
          <w:tcPr>
            <w:tcW w:w="1984" w:type="dxa"/>
          </w:tcPr>
          <w:p w:rsidR="00725138" w:rsidRPr="00462866" w:rsidRDefault="003D0252" w:rsidP="001213AB">
            <w:pPr>
              <w:jc w:val="center"/>
              <w:rPr>
                <w:lang w:val="mk-MK"/>
              </w:rPr>
            </w:pPr>
            <w:r>
              <w:rPr>
                <w:lang w:val="mk-MK"/>
              </w:rPr>
              <w:t>2</w:t>
            </w:r>
          </w:p>
        </w:tc>
        <w:tc>
          <w:tcPr>
            <w:tcW w:w="2091" w:type="dxa"/>
          </w:tcPr>
          <w:p w:rsidR="00725138" w:rsidRPr="00462866" w:rsidRDefault="003D0252" w:rsidP="001213AB">
            <w:pPr>
              <w:jc w:val="center"/>
              <w:rPr>
                <w:lang w:val="mk-MK"/>
              </w:rPr>
            </w:pPr>
            <w:r>
              <w:rPr>
                <w:lang w:val="mk-MK"/>
              </w:rPr>
              <w:t>2</w:t>
            </w:r>
          </w:p>
        </w:tc>
      </w:tr>
      <w:tr w:rsidR="00725138" w:rsidRPr="00462866" w:rsidTr="0041760A">
        <w:tc>
          <w:tcPr>
            <w:tcW w:w="4928" w:type="dxa"/>
          </w:tcPr>
          <w:p w:rsidR="00725138" w:rsidRPr="00462866" w:rsidRDefault="00725138" w:rsidP="001213AB">
            <w:pPr>
              <w:pStyle w:val="ListParagraph"/>
              <w:numPr>
                <w:ilvl w:val="0"/>
                <w:numId w:val="2"/>
              </w:numPr>
              <w:contextualSpacing w:val="0"/>
              <w:jc w:val="both"/>
              <w:rPr>
                <w:lang w:val="mk-MK"/>
              </w:rPr>
            </w:pPr>
            <w:r w:rsidRPr="00462866">
              <w:rPr>
                <w:lang w:val="mk-MK"/>
              </w:rPr>
              <w:t>Задоволување на потрошувачите</w:t>
            </w:r>
          </w:p>
        </w:tc>
        <w:tc>
          <w:tcPr>
            <w:tcW w:w="1984" w:type="dxa"/>
          </w:tcPr>
          <w:p w:rsidR="00725138" w:rsidRPr="00462866" w:rsidRDefault="00725138" w:rsidP="001213AB">
            <w:pPr>
              <w:jc w:val="center"/>
              <w:rPr>
                <w:lang w:val="mk-MK"/>
              </w:rPr>
            </w:pPr>
          </w:p>
        </w:tc>
        <w:tc>
          <w:tcPr>
            <w:tcW w:w="2091" w:type="dxa"/>
          </w:tcPr>
          <w:p w:rsidR="00725138" w:rsidRPr="00462866" w:rsidRDefault="003D0252" w:rsidP="001213AB">
            <w:pPr>
              <w:jc w:val="center"/>
              <w:rPr>
                <w:lang w:val="mk-MK"/>
              </w:rPr>
            </w:pPr>
            <w:r>
              <w:rPr>
                <w:lang w:val="mk-MK"/>
              </w:rPr>
              <w:t>2</w:t>
            </w:r>
          </w:p>
        </w:tc>
      </w:tr>
      <w:tr w:rsidR="00725138" w:rsidRPr="00462866" w:rsidTr="0041760A">
        <w:tc>
          <w:tcPr>
            <w:tcW w:w="4928" w:type="dxa"/>
          </w:tcPr>
          <w:p w:rsidR="00725138" w:rsidRPr="00462866" w:rsidRDefault="003D0252" w:rsidP="001213AB">
            <w:pPr>
              <w:pStyle w:val="ListParagraph"/>
              <w:numPr>
                <w:ilvl w:val="0"/>
                <w:numId w:val="2"/>
              </w:numPr>
              <w:contextualSpacing w:val="0"/>
              <w:jc w:val="both"/>
              <w:rPr>
                <w:lang w:val="mk-MK"/>
              </w:rPr>
            </w:pPr>
            <w:r>
              <w:rPr>
                <w:lang w:val="mk-MK"/>
              </w:rPr>
              <w:t>Раст и развој</w:t>
            </w:r>
          </w:p>
        </w:tc>
        <w:tc>
          <w:tcPr>
            <w:tcW w:w="1984" w:type="dxa"/>
          </w:tcPr>
          <w:p w:rsidR="00725138" w:rsidRPr="003D0252" w:rsidRDefault="003D0252" w:rsidP="001213AB">
            <w:pPr>
              <w:jc w:val="center"/>
            </w:pPr>
            <w:r>
              <w:rPr>
                <w:lang w:val="mk-MK"/>
              </w:rPr>
              <w:t>1</w:t>
            </w:r>
          </w:p>
        </w:tc>
        <w:tc>
          <w:tcPr>
            <w:tcW w:w="2091" w:type="dxa"/>
          </w:tcPr>
          <w:p w:rsidR="00725138" w:rsidRPr="00462866" w:rsidRDefault="00725138" w:rsidP="001213AB">
            <w:pPr>
              <w:jc w:val="center"/>
              <w:rPr>
                <w:lang w:val="mk-MK"/>
              </w:rPr>
            </w:pPr>
          </w:p>
        </w:tc>
      </w:tr>
    </w:tbl>
    <w:p w:rsidR="00725138" w:rsidRPr="00462866" w:rsidRDefault="00725138" w:rsidP="001213AB">
      <w:pPr>
        <w:spacing w:line="276" w:lineRule="auto"/>
        <w:jc w:val="both"/>
        <w:rPr>
          <w:sz w:val="22"/>
          <w:lang w:val="mk-MK"/>
        </w:rPr>
      </w:pPr>
      <w:r w:rsidRPr="00462866">
        <w:rPr>
          <w:sz w:val="22"/>
          <w:lang w:val="mk-MK"/>
        </w:rPr>
        <w:t>Извор: пресметки на авторот</w:t>
      </w:r>
    </w:p>
    <w:p w:rsidR="00725138" w:rsidRPr="00462866" w:rsidRDefault="00725138" w:rsidP="001213AB">
      <w:pPr>
        <w:spacing w:line="276" w:lineRule="auto"/>
        <w:jc w:val="both"/>
        <w:rPr>
          <w:lang w:val="mk-MK"/>
        </w:rPr>
      </w:pPr>
    </w:p>
    <w:p w:rsidR="007E3841" w:rsidRDefault="007E3841" w:rsidP="001213AB">
      <w:pPr>
        <w:spacing w:line="276" w:lineRule="auto"/>
        <w:jc w:val="both"/>
        <w:rPr>
          <w:lang w:val="mk-MK"/>
        </w:rPr>
      </w:pPr>
      <w:r>
        <w:rPr>
          <w:szCs w:val="24"/>
          <w:lang w:val="mk-MK"/>
        </w:rPr>
        <w:tab/>
        <w:t xml:space="preserve">Пред да анализираме, треба да се напомене дека во литературата за корпоративните финансии, како основна цел на работењето на компаниите е усвоена максимизацијата на вредноста на компанијата, а со тоа и на богатството на акционерите. </w:t>
      </w:r>
      <w:r w:rsidRPr="00462866">
        <w:rPr>
          <w:lang w:val="mk-MK"/>
        </w:rPr>
        <w:t>Може да се забележи дека македонските менаџери с</w:t>
      </w:r>
      <w:r w:rsidRPr="00F5098D">
        <w:rPr>
          <w:lang w:val="mk-MK"/>
        </w:rPr>
        <w:t>ѐ</w:t>
      </w:r>
      <w:r w:rsidRPr="00462866">
        <w:rPr>
          <w:lang w:val="mk-MK"/>
        </w:rPr>
        <w:t xml:space="preserve"> уште се фокусирани на максимизацијата на добивката, што, како конечна и стратешка цел, одамна е оценета како несоодветна за долгорочен успех на компанијата. Наспроти тоа, фокусирањето на интересите на акционерите е речиси непостоечко, што дава јасен сигнал за односот на менаџерите кон нивните најзначајни стејкхолдери. Еден дел од компаниите ја прифатиле определбата да се грижат за интересите на сите стејкхолдери, што, би рекле, дека е повеќе наследство од минатото, отколку реално осмислена стратешка цел кај нив.</w:t>
      </w:r>
    </w:p>
    <w:p w:rsidR="007E3841" w:rsidRDefault="007E3841" w:rsidP="001213AB">
      <w:pPr>
        <w:spacing w:line="276" w:lineRule="auto"/>
        <w:jc w:val="both"/>
        <w:rPr>
          <w:lang w:val="mk-MK"/>
        </w:rPr>
      </w:pPr>
    </w:p>
    <w:p w:rsidR="007E3841" w:rsidRPr="00427796" w:rsidRDefault="007E3841" w:rsidP="001213AB">
      <w:pPr>
        <w:spacing w:line="276" w:lineRule="auto"/>
        <w:jc w:val="both"/>
        <w:rPr>
          <w:b/>
          <w:lang w:val="mk-MK"/>
        </w:rPr>
      </w:pPr>
      <w:r w:rsidRPr="00427796">
        <w:rPr>
          <w:b/>
          <w:lang w:val="mk-MK"/>
        </w:rPr>
        <w:tab/>
        <w:t xml:space="preserve">Импликации на добиените </w:t>
      </w:r>
      <w:r w:rsidR="007808F1" w:rsidRPr="00427796">
        <w:rPr>
          <w:b/>
          <w:lang w:val="mk-MK"/>
        </w:rPr>
        <w:t>резултати</w:t>
      </w:r>
      <w:r w:rsidR="00427796">
        <w:rPr>
          <w:b/>
          <w:lang w:val="mk-MK"/>
        </w:rPr>
        <w:t xml:space="preserve"> и препораки за надминување на состојбите</w:t>
      </w:r>
    </w:p>
    <w:p w:rsidR="007808F1" w:rsidRDefault="007808F1" w:rsidP="001213AB">
      <w:pPr>
        <w:spacing w:line="276" w:lineRule="auto"/>
        <w:jc w:val="both"/>
        <w:rPr>
          <w:lang w:val="mk-MK"/>
        </w:rPr>
      </w:pPr>
    </w:p>
    <w:p w:rsidR="007808F1" w:rsidRDefault="007808F1" w:rsidP="001213AB">
      <w:pPr>
        <w:spacing w:line="276" w:lineRule="auto"/>
        <w:jc w:val="both"/>
        <w:rPr>
          <w:lang w:val="mk-MK"/>
        </w:rPr>
      </w:pPr>
      <w:r>
        <w:rPr>
          <w:lang w:val="mk-MK"/>
        </w:rPr>
        <w:tab/>
        <w:t>Пред да формулираме одредени предлози со кои би можело да се подобрат состојбите, неопходно е да ги согледаме импликациите на погоре утврдените резултати врз компаниите и македонската економија во целост.</w:t>
      </w:r>
    </w:p>
    <w:p w:rsidR="00427796" w:rsidRDefault="007808F1" w:rsidP="001213AB">
      <w:pPr>
        <w:spacing w:line="276" w:lineRule="auto"/>
        <w:jc w:val="both"/>
        <w:rPr>
          <w:lang w:val="mk-MK"/>
        </w:rPr>
      </w:pPr>
      <w:r>
        <w:rPr>
          <w:lang w:val="mk-MK"/>
        </w:rPr>
        <w:tab/>
        <w:t xml:space="preserve"> Фактот дека компаниите </w:t>
      </w:r>
      <w:r w:rsidR="000A0C55" w:rsidRPr="000A0C55">
        <w:rPr>
          <w:lang w:val="mk-MK"/>
        </w:rPr>
        <w:t>с</w:t>
      </w:r>
      <w:r w:rsidR="000A0C55" w:rsidRPr="000A0C55">
        <w:rPr>
          <w:szCs w:val="24"/>
        </w:rPr>
        <w:t>è</w:t>
      </w:r>
      <w:r>
        <w:rPr>
          <w:lang w:val="mk-MK"/>
        </w:rPr>
        <w:t xml:space="preserve"> уште немаат развиено однос кон своите акционери како клучни стејкхолдери кои ги инвестирале своите средства во нив и се изложиле на најголем ризик има повеќекратни последици. Прво, сите принципи на одлучување во финансискиот менаџмент се темелат на сфаќањето на максимизацијата на вредноста како основна цел. Одлуките за инвестирање, за структурата на капиталот, дивидендната политика, за емисија на нови акции</w:t>
      </w:r>
      <w:r w:rsidR="00783773">
        <w:rPr>
          <w:lang w:val="mk-MK"/>
        </w:rPr>
        <w:t>, спојувањата на компаниите</w:t>
      </w:r>
      <w:r>
        <w:rPr>
          <w:lang w:val="mk-MK"/>
        </w:rPr>
        <w:t xml:space="preserve"> и многу други имаат смисол само доколку се гледаат низ призмата на нивниот долгорочен придонес кон зголемувањето на севкупната вредност на компанијата. </w:t>
      </w:r>
      <w:r w:rsidR="00547E1F">
        <w:rPr>
          <w:lang w:val="mk-MK"/>
        </w:rPr>
        <w:t xml:space="preserve">Токму однесувањето на нашите компании на овие полиња е евидентен одраз на споменатиот </w:t>
      </w:r>
      <w:r w:rsidR="00783773">
        <w:rPr>
          <w:lang w:val="mk-MK"/>
        </w:rPr>
        <w:t xml:space="preserve">став и поинаку поставените цели. </w:t>
      </w:r>
      <w:r w:rsidR="00547E1F">
        <w:rPr>
          <w:lang w:val="mk-MK"/>
        </w:rPr>
        <w:t xml:space="preserve">Второ, ваквиот однос неповолно влијае и на случувањата и развојот на пазарот на капитал. </w:t>
      </w:r>
      <w:r w:rsidR="000A0C55">
        <w:rPr>
          <w:lang w:val="mk-MK"/>
        </w:rPr>
        <w:t>С</w:t>
      </w:r>
      <w:r w:rsidR="000A0C55" w:rsidRPr="000A0C55">
        <w:rPr>
          <w:szCs w:val="24"/>
        </w:rPr>
        <w:t>è</w:t>
      </w:r>
      <w:r w:rsidR="00547E1F">
        <w:rPr>
          <w:lang w:val="mk-MK"/>
        </w:rPr>
        <w:t xml:space="preserve"> додека компаниите не почнат да размислуваат на долги рокови, да поставуваат далкусежни цели и да покажат посветеност на создавањето вредност за акционерите, не можеме да очекуваме нит</w:t>
      </w:r>
      <w:r w:rsidR="00A472A0">
        <w:rPr>
          <w:lang w:val="mk-MK"/>
        </w:rPr>
        <w:t>у</w:t>
      </w:r>
      <w:r w:rsidR="00547E1F">
        <w:rPr>
          <w:lang w:val="mk-MK"/>
        </w:rPr>
        <w:t xml:space="preserve"> силен интерес на акционерите за нив. Ова го кажуваме во контекст на можноста емисиите на акции да се користат како алтернативен извор на капитал.</w:t>
      </w:r>
      <w:r w:rsidR="00783773">
        <w:rPr>
          <w:lang w:val="mk-MK"/>
        </w:rPr>
        <w:t xml:space="preserve"> Тоа, пак, има повратно негативно влијание врз некои други </w:t>
      </w:r>
      <w:r w:rsidR="000A0C55">
        <w:rPr>
          <w:lang w:val="mk-MK"/>
        </w:rPr>
        <w:t>можности,</w:t>
      </w:r>
      <w:r w:rsidR="00783773">
        <w:rPr>
          <w:lang w:val="mk-MK"/>
        </w:rPr>
        <w:t xml:space="preserve"> како што е на пример, наградувањето </w:t>
      </w:r>
      <w:r w:rsidR="00783773">
        <w:rPr>
          <w:lang w:val="mk-MK"/>
        </w:rPr>
        <w:lastRenderedPageBreak/>
        <w:t>на менаџерите засновано на движењето на цените на акциите, што е и основниот метод за надминување на конфликтите на релација менаџери-акционери.</w:t>
      </w:r>
      <w:r w:rsidR="0050540D">
        <w:rPr>
          <w:lang w:val="mk-MK"/>
        </w:rPr>
        <w:t xml:space="preserve"> Исто така, неразвиениот и неликвиден пазар на капитал не им отвора т.н. опции </w:t>
      </w:r>
      <w:r w:rsidR="00427796">
        <w:rPr>
          <w:lang w:val="mk-MK"/>
        </w:rPr>
        <w:t>з</w:t>
      </w:r>
      <w:r w:rsidR="0050540D">
        <w:rPr>
          <w:lang w:val="mk-MK"/>
        </w:rPr>
        <w:t>а излез на бизнис-ангелите, што е еден од условите за развој на оваа форма на делување.</w:t>
      </w:r>
      <w:r w:rsidR="00427796">
        <w:rPr>
          <w:lang w:val="mk-MK"/>
        </w:rPr>
        <w:t xml:space="preserve"> </w:t>
      </w:r>
      <w:r w:rsidR="00547E1F">
        <w:rPr>
          <w:lang w:val="mk-MK"/>
        </w:rPr>
        <w:t>Понатаму, ориентацијата кон непреземање ризици доведува до субоптимално ниво на инвестирање. Тоа го кочи развојот на компаниите, ја намалува нивната конкурентност и ги одржува стапките на економски раст на пониско ниво.</w:t>
      </w:r>
    </w:p>
    <w:p w:rsidR="00FB15F5" w:rsidRPr="00427796" w:rsidRDefault="00A472A0" w:rsidP="001213AB">
      <w:pPr>
        <w:spacing w:line="276" w:lineRule="auto"/>
        <w:jc w:val="both"/>
      </w:pPr>
      <w:r>
        <w:rPr>
          <w:lang w:val="mk-MK"/>
        </w:rPr>
        <w:tab/>
        <w:t>Целисходноста на ваквите анализи и истражувања доаѓа до израз само доколку тие послужат како основа за предлагање и преземање мерки за надминување на воочените слабости. Веднаш би навел дека не можеме да ги сметаме компаниите, односно нивните менаџери за единствено одговорни лица, со оглед на тоа што тие делуваат  во конкретен стопански и политички амбиент, со наследени состојби и низа други ограничувања. Оттука, и предлозите што ќе бидат дадени во продолжение ќе бидат насочени кон повеќе носители на одлучувањето.</w:t>
      </w:r>
    </w:p>
    <w:p w:rsidR="00A472A0" w:rsidRDefault="00A472A0" w:rsidP="001213AB">
      <w:pPr>
        <w:spacing w:line="276" w:lineRule="auto"/>
        <w:jc w:val="both"/>
        <w:rPr>
          <w:lang w:val="mk-MK"/>
        </w:rPr>
      </w:pPr>
      <w:r>
        <w:rPr>
          <w:lang w:val="mk-MK"/>
        </w:rPr>
        <w:tab/>
        <w:t xml:space="preserve">Клучен двигател на развојот на економијата се инвестициите. Поради тоа, мораме да најдеме начини како да се зголеми инвестирањето. Обично компаните се жалат дека банките се премногу рестриктивни во одобрувањето кредити, додека банките сметаат дека до нив не доаѓаат доволно добри предлог-проекти. Една можност за намалување на </w:t>
      </w:r>
      <w:r w:rsidR="0000569F">
        <w:rPr>
          <w:lang w:val="mk-MK"/>
        </w:rPr>
        <w:t xml:space="preserve">претпазливоста на банките и нивно охрабрување за преземање поголем ризик е во </w:t>
      </w:r>
      <w:r w:rsidR="0000569F" w:rsidRPr="00415746">
        <w:rPr>
          <w:b/>
          <w:lang w:val="mk-MK"/>
        </w:rPr>
        <w:t>одредувањето одреден процент од нивниот кредитен потенцијал кој задолжително би требало да се додели како кредити на одреден тип проекти, како на пример, нови компании (стартапи)</w:t>
      </w:r>
      <w:r w:rsidR="0000569F">
        <w:rPr>
          <w:lang w:val="mk-MK"/>
        </w:rPr>
        <w:t>. За овој дел банките би биле ослободени од одредени обврски (на пример, задолжителна резерва) или истиот не би влегувал во пресметката на стапката на адекватност на капиталот и сл. Тука, свој придонес кон раздвижувањето на инвестициите би дала и Народната банка, која ќе треба да прифати и извесно мало намалување на степенот на стабилност на банкарскиот сектор, која и така е на исклучително високо ниво, што се покажува и како одредена кочница за динамизирање на стопанскиот раст.</w:t>
      </w:r>
      <w:r w:rsidR="00BC153A">
        <w:rPr>
          <w:lang w:val="mk-MK"/>
        </w:rPr>
        <w:t xml:space="preserve"> Исто така, со овие мерки би требало да се стимулираат и сите вложувања во создавање производи со повиока додадена вредност во постоечките компании.</w:t>
      </w:r>
    </w:p>
    <w:p w:rsidR="0000569F" w:rsidRDefault="0000569F" w:rsidP="001213AB">
      <w:pPr>
        <w:spacing w:line="276" w:lineRule="auto"/>
        <w:jc w:val="both"/>
        <w:rPr>
          <w:lang w:val="mk-MK"/>
        </w:rPr>
      </w:pPr>
      <w:r>
        <w:rPr>
          <w:lang w:val="mk-MK"/>
        </w:rPr>
        <w:tab/>
        <w:t xml:space="preserve">Доколку зборуваме за кредитирање како традиционален облик на финансирање кој тешко се напушта, една можност лежи и во </w:t>
      </w:r>
      <w:r w:rsidRPr="00415746">
        <w:rPr>
          <w:b/>
          <w:lang w:val="mk-MK"/>
        </w:rPr>
        <w:t>промоцијата на т.н. конвертибилни обврзници</w:t>
      </w:r>
      <w:r>
        <w:rPr>
          <w:lang w:val="mk-MK"/>
        </w:rPr>
        <w:t xml:space="preserve">. Тоа се корпоративни обврзници кои можат да се заменат за акции на истата компанија во одреден момент. Тие се хибридна хартија од вредност, која </w:t>
      </w:r>
      <w:r w:rsidR="009301E0">
        <w:rPr>
          <w:lang w:val="mk-MK"/>
        </w:rPr>
        <w:t>од една страна, обезбедува сигурно враќање на главнината и носи камата, но од друга, носи и потенцијал за голема заработка доколку компанијата постигне виока пазарна вредност. Овие хартии се особено поволни во случајот на нови и неафирмирани компании, со потенцијал за брз растеж. На овој начин може да се надмине јазот помеѓу аверзијата кон ризикот на инвеститорите (кредиторите) и нивната потреба за остварување повисоки стапки на поврат во време на ниски каматни стапки.</w:t>
      </w:r>
      <w:r w:rsidR="00525DEC">
        <w:t xml:space="preserve"> </w:t>
      </w:r>
      <w:r w:rsidR="00525DEC">
        <w:rPr>
          <w:lang w:val="mk-MK"/>
        </w:rPr>
        <w:t>Дополнително, тоа може да придонесе и за поинтензивен развој на пазарот на капитал. Покрај промовирањето, пожелно е и одредено стимулирање на нивната примена од страна на Владата или Македонската берза.</w:t>
      </w:r>
    </w:p>
    <w:p w:rsidR="00415746" w:rsidRDefault="00415746" w:rsidP="001213AB">
      <w:pPr>
        <w:spacing w:line="276" w:lineRule="auto"/>
        <w:jc w:val="both"/>
        <w:rPr>
          <w:lang w:val="mk-MK"/>
        </w:rPr>
      </w:pPr>
      <w:r>
        <w:rPr>
          <w:lang w:val="mk-MK"/>
        </w:rPr>
        <w:tab/>
        <w:t xml:space="preserve">Една можност за надминување на проблемот со аверзијата кон ризик што ја имаат банките како кредитори е во </w:t>
      </w:r>
      <w:r w:rsidRPr="00B16A42">
        <w:rPr>
          <w:b/>
          <w:lang w:val="mk-MK"/>
        </w:rPr>
        <w:t>финансирањето на</w:t>
      </w:r>
      <w:r w:rsidRPr="00B16A42">
        <w:rPr>
          <w:b/>
        </w:rPr>
        <w:t xml:space="preserve"> </w:t>
      </w:r>
      <w:r w:rsidRPr="00B16A42">
        <w:rPr>
          <w:b/>
          <w:lang w:val="mk-MK"/>
        </w:rPr>
        <w:t xml:space="preserve">нови и иновативни проекти преку т.н. </w:t>
      </w:r>
      <w:r w:rsidR="00B026BD" w:rsidRPr="00B16A42">
        <w:rPr>
          <w:b/>
          <w:lang w:val="mk-MK"/>
        </w:rPr>
        <w:t>„</w:t>
      </w:r>
      <w:r w:rsidRPr="00B16A42">
        <w:rPr>
          <w:b/>
          <w:lang w:val="mk-MK"/>
        </w:rPr>
        <w:t>бизнис-ангели</w:t>
      </w:r>
      <w:r w:rsidR="00B026BD" w:rsidRPr="00B16A42">
        <w:rPr>
          <w:b/>
          <w:lang w:val="mk-MK"/>
        </w:rPr>
        <w:t>“</w:t>
      </w:r>
      <w:r w:rsidRPr="00B16A42">
        <w:rPr>
          <w:b/>
          <w:lang w:val="mk-MK"/>
        </w:rPr>
        <w:t xml:space="preserve"> или национални фондови</w:t>
      </w:r>
      <w:r>
        <w:rPr>
          <w:lang w:val="mk-MK"/>
        </w:rPr>
        <w:t xml:space="preserve">. </w:t>
      </w:r>
      <w:r w:rsidR="00B026BD">
        <w:rPr>
          <w:lang w:val="mk-MK"/>
        </w:rPr>
        <w:t>Релативниот недостиг</w:t>
      </w:r>
      <w:r>
        <w:rPr>
          <w:lang w:val="mk-MK"/>
        </w:rPr>
        <w:t xml:space="preserve"> на бизнис-ангелите во Европа се надоместува со различни </w:t>
      </w:r>
      <w:r w:rsidR="00B026BD">
        <w:rPr>
          <w:lang w:val="mk-MK"/>
        </w:rPr>
        <w:t>форми на фондовско финансирање</w:t>
      </w:r>
      <w:r w:rsidR="00B16A42">
        <w:rPr>
          <w:lang w:val="mk-MK"/>
        </w:rPr>
        <w:t xml:space="preserve">, но ЕУ презема и конкретни </w:t>
      </w:r>
      <w:r w:rsidR="00B16A42">
        <w:rPr>
          <w:lang w:val="mk-MK"/>
        </w:rPr>
        <w:lastRenderedPageBreak/>
        <w:t>стимулативни мерки. Нивната појава може да се стимулира со некои ослободувања, но и со партнерство од фондови на државата. Дополнително, треба да се бараат можности за прекугранична соработка на ова поле, односно промоција на иновативни бизниси во Македонија кај потенцијални инвеститори во соседните земји.</w:t>
      </w:r>
    </w:p>
    <w:p w:rsidR="00B16A42" w:rsidRPr="00E81E06" w:rsidRDefault="00B16A42" w:rsidP="001213AB">
      <w:pPr>
        <w:spacing w:line="276" w:lineRule="auto"/>
        <w:jc w:val="both"/>
        <w:rPr>
          <w:lang w:val="mk-MK"/>
        </w:rPr>
      </w:pPr>
      <w:r>
        <w:rPr>
          <w:lang w:val="mk-MK"/>
        </w:rPr>
        <w:tab/>
        <w:t xml:space="preserve">Со цел да се зголеми атрактивноста на компаниите како емитенти на хартии од вредност, неопходно е да се развива чувството за </w:t>
      </w:r>
      <w:r w:rsidRPr="00E81E06">
        <w:rPr>
          <w:b/>
          <w:lang w:val="mk-MK"/>
        </w:rPr>
        <w:t>потребата од стратегиско планирање</w:t>
      </w:r>
      <w:r>
        <w:rPr>
          <w:lang w:val="mk-MK"/>
        </w:rPr>
        <w:t xml:space="preserve">. Доколку се анализираат веб-страниците на нашите компании, речиси воопшто </w:t>
      </w:r>
      <w:r w:rsidR="00E81E06">
        <w:rPr>
          <w:lang w:val="mk-MK"/>
        </w:rPr>
        <w:t>не се срешаваат стратегиски планови и постаавени долгорочни цели. Ова е сосема дивергентно од искуствата со странските компании, коишто своите цели и амбиции за следните 5-10 години прецизно ги формулираат и јавно ги објавуваат. Во контекст на претходното образложение за односот на компаниите кон акционерите, ова дополнително ја намалува нивната атрактивност, со споменатите последици по развојот на пазарот на капитал. Оттука, потребно е стратегиското планирање да се афирмира, стимулира, па дури и да се воведе како обврска, како што претходно беше случај со некои барања кои произлегоа од законите или од правилата за котација на Македонската берза, а кои придонесоа за развој на корпоративното управување во нашата земја.</w:t>
      </w:r>
    </w:p>
    <w:p w:rsidR="00792A87" w:rsidRDefault="00792A87" w:rsidP="001213AB">
      <w:pPr>
        <w:spacing w:line="276" w:lineRule="auto"/>
        <w:rPr>
          <w:szCs w:val="24"/>
        </w:rPr>
      </w:pPr>
    </w:p>
    <w:p w:rsidR="001442CD" w:rsidRDefault="001442CD" w:rsidP="001213AB">
      <w:pPr>
        <w:spacing w:line="276" w:lineRule="auto"/>
        <w:jc w:val="both"/>
        <w:rPr>
          <w:b/>
          <w:szCs w:val="24"/>
          <w:lang w:val="mk-MK"/>
        </w:rPr>
      </w:pPr>
    </w:p>
    <w:p w:rsidR="00451552" w:rsidRDefault="00451552" w:rsidP="001213AB">
      <w:pPr>
        <w:spacing w:line="276" w:lineRule="auto"/>
        <w:jc w:val="both"/>
        <w:rPr>
          <w:b/>
          <w:szCs w:val="24"/>
          <w:lang w:val="mk-MK"/>
        </w:rPr>
      </w:pPr>
      <w:r>
        <w:rPr>
          <w:b/>
          <w:szCs w:val="24"/>
          <w:lang w:val="mk-MK"/>
        </w:rPr>
        <w:t>Литература</w:t>
      </w:r>
    </w:p>
    <w:p w:rsidR="00451552" w:rsidRPr="001442CD" w:rsidRDefault="00451552" w:rsidP="001213AB">
      <w:pPr>
        <w:spacing w:line="276" w:lineRule="auto"/>
        <w:jc w:val="both"/>
        <w:rPr>
          <w:szCs w:val="24"/>
        </w:rPr>
      </w:pPr>
    </w:p>
    <w:p w:rsidR="001442CD" w:rsidRPr="00AB218C" w:rsidRDefault="00427796" w:rsidP="001213AB">
      <w:pPr>
        <w:spacing w:before="20" w:line="276" w:lineRule="auto"/>
        <w:ind w:left="426" w:hanging="426"/>
        <w:jc w:val="both"/>
        <w:rPr>
          <w:szCs w:val="24"/>
          <w:lang w:val="mk-MK"/>
        </w:rPr>
      </w:pPr>
      <w:r w:rsidRPr="00AB218C">
        <w:rPr>
          <w:color w:val="000000"/>
          <w:szCs w:val="24"/>
        </w:rPr>
        <w:t>Adaoglu, C.</w:t>
      </w:r>
      <w:r w:rsidRPr="00AB218C">
        <w:rPr>
          <w:color w:val="000000"/>
          <w:szCs w:val="24"/>
          <w:lang w:val="mk-MK"/>
        </w:rPr>
        <w:t xml:space="preserve"> (</w:t>
      </w:r>
      <w:r w:rsidR="001442CD" w:rsidRPr="00AB218C">
        <w:rPr>
          <w:color w:val="000000"/>
          <w:szCs w:val="24"/>
        </w:rPr>
        <w:t>2000</w:t>
      </w:r>
      <w:r w:rsidRPr="00AB218C">
        <w:rPr>
          <w:color w:val="000000"/>
          <w:szCs w:val="24"/>
          <w:lang w:val="mk-MK"/>
        </w:rPr>
        <w:t>)</w:t>
      </w:r>
      <w:r w:rsidR="001442CD" w:rsidRPr="00AB218C">
        <w:rPr>
          <w:color w:val="000000"/>
          <w:szCs w:val="24"/>
        </w:rPr>
        <w:t>, “Instability in the Dividend Policy of the Istanbul Stock Exchange (ISE) Corporations: Evidence from An Emerging Market,” Easter Mediterranean University, Dept. of Banking and Finance Working Paper, 1- 34.</w:t>
      </w:r>
    </w:p>
    <w:p w:rsidR="000A0C55" w:rsidRDefault="00526D8A" w:rsidP="001213AB">
      <w:pPr>
        <w:spacing w:before="20" w:line="276" w:lineRule="auto"/>
        <w:ind w:left="426" w:hanging="426"/>
        <w:jc w:val="both"/>
        <w:rPr>
          <w:color w:val="000000"/>
          <w:szCs w:val="24"/>
        </w:rPr>
      </w:pPr>
      <w:r w:rsidRPr="00AB218C">
        <w:rPr>
          <w:color w:val="000000"/>
          <w:szCs w:val="24"/>
        </w:rPr>
        <w:t>Aivazian, V., L. Booth, and S. Cleary</w:t>
      </w:r>
      <w:r w:rsidR="00427796" w:rsidRPr="00AB218C">
        <w:rPr>
          <w:color w:val="000000"/>
          <w:szCs w:val="24"/>
          <w:lang w:val="mk-MK"/>
        </w:rPr>
        <w:t xml:space="preserve"> (</w:t>
      </w:r>
      <w:r w:rsidRPr="00AB218C">
        <w:rPr>
          <w:color w:val="000000"/>
          <w:szCs w:val="24"/>
        </w:rPr>
        <w:t>2001</w:t>
      </w:r>
      <w:r w:rsidR="00427796" w:rsidRPr="00AB218C">
        <w:rPr>
          <w:color w:val="000000"/>
          <w:szCs w:val="24"/>
          <w:lang w:val="mk-MK"/>
        </w:rPr>
        <w:t>),</w:t>
      </w:r>
      <w:r w:rsidRPr="00AB218C">
        <w:rPr>
          <w:color w:val="000000"/>
          <w:szCs w:val="24"/>
        </w:rPr>
        <w:t xml:space="preserve"> “Dividend Policy in Developing Countries,” </w:t>
      </w:r>
      <w:r w:rsidRPr="00AB218C">
        <w:rPr>
          <w:i/>
          <w:color w:val="000000"/>
          <w:szCs w:val="24"/>
        </w:rPr>
        <w:t>Paper Presented at the Eighth Annual Conference, Multinational Finance Conference</w:t>
      </w:r>
      <w:r w:rsidRPr="00AB218C">
        <w:rPr>
          <w:color w:val="000000"/>
          <w:szCs w:val="24"/>
        </w:rPr>
        <w:t>, Italy, 1- 42.</w:t>
      </w:r>
    </w:p>
    <w:p w:rsidR="000A0C55" w:rsidRPr="00637E27" w:rsidRDefault="000A0C55" w:rsidP="001213AB">
      <w:pPr>
        <w:spacing w:before="20" w:line="276" w:lineRule="auto"/>
        <w:ind w:left="426" w:hanging="426"/>
        <w:jc w:val="both"/>
        <w:rPr>
          <w:color w:val="000000"/>
          <w:szCs w:val="24"/>
        </w:rPr>
      </w:pPr>
      <w:r>
        <w:rPr>
          <w:rFonts w:eastAsia="Times New Roman"/>
          <w:szCs w:val="24"/>
        </w:rPr>
        <w:t>Arsov, Sasho, Aleksandar Naumoski (2016), “</w:t>
      </w:r>
      <w:r w:rsidRPr="00637E27">
        <w:rPr>
          <w:rFonts w:eastAsia="Times New Roman"/>
          <w:szCs w:val="24"/>
        </w:rPr>
        <w:t>Determinants of capital structure: An empirical study of companies from selected post-transition economies</w:t>
      </w:r>
      <w:r>
        <w:rPr>
          <w:rFonts w:eastAsia="Times New Roman"/>
          <w:szCs w:val="24"/>
        </w:rPr>
        <w:t xml:space="preserve">”, </w:t>
      </w:r>
      <w:r w:rsidRPr="00637E27">
        <w:rPr>
          <w:rFonts w:eastAsia="Times New Roman"/>
          <w:i/>
          <w:szCs w:val="24"/>
        </w:rPr>
        <w:t>Zbornik Radov</w:t>
      </w:r>
      <w:r>
        <w:rPr>
          <w:rFonts w:eastAsia="Times New Roman"/>
          <w:i/>
          <w:szCs w:val="24"/>
        </w:rPr>
        <w:t xml:space="preserve">a Ekonomskog Fakulteta u Rijeci, </w:t>
      </w:r>
      <w:r w:rsidRPr="00637E27">
        <w:rPr>
          <w:rFonts w:eastAsia="Times New Roman"/>
          <w:szCs w:val="24"/>
        </w:rPr>
        <w:t>34(1):119-146</w:t>
      </w:r>
    </w:p>
    <w:p w:rsidR="00B22D4A" w:rsidRPr="00AB218C" w:rsidRDefault="00881C7B" w:rsidP="001213AB">
      <w:pPr>
        <w:spacing w:before="20" w:line="276" w:lineRule="auto"/>
        <w:ind w:left="426" w:hanging="426"/>
        <w:jc w:val="both"/>
        <w:rPr>
          <w:szCs w:val="24"/>
          <w:lang w:val="mk-MK"/>
        </w:rPr>
      </w:pPr>
      <w:r w:rsidRPr="00AB218C">
        <w:rPr>
          <w:iCs/>
          <w:color w:val="000000"/>
          <w:szCs w:val="24"/>
        </w:rPr>
        <w:t>Bauer, P. (2004) “Determinants of Capital Structure - Empirical Evidence from the Czech Republic”, Finance a úvĕr – Czech Journal of Economics and Finance, Vol. 54, No. 1-2, pp. 2-21</w:t>
      </w:r>
    </w:p>
    <w:p w:rsidR="00526D8A" w:rsidRPr="00AB218C" w:rsidRDefault="00526D8A" w:rsidP="001213AB">
      <w:pPr>
        <w:spacing w:before="20" w:line="276" w:lineRule="auto"/>
        <w:ind w:left="426" w:hanging="426"/>
        <w:jc w:val="both"/>
        <w:rPr>
          <w:color w:val="000000"/>
          <w:szCs w:val="24"/>
        </w:rPr>
      </w:pPr>
      <w:r w:rsidRPr="00AB218C">
        <w:rPr>
          <w:color w:val="000000"/>
          <w:szCs w:val="24"/>
        </w:rPr>
        <w:t xml:space="preserve">Bena, J., Hanousek, J. (2008), Rent Extraction by Large Shareholders: Evidence Using Dividend Policy in the Czech Republic, </w:t>
      </w:r>
      <w:r w:rsidRPr="00AB218C">
        <w:rPr>
          <w:i/>
          <w:iCs/>
          <w:color w:val="000000"/>
          <w:szCs w:val="24"/>
        </w:rPr>
        <w:t>Finance a úvĕr – Czech Journal of Economics and Finance</w:t>
      </w:r>
      <w:r w:rsidRPr="00AB218C">
        <w:rPr>
          <w:iCs/>
          <w:color w:val="000000"/>
          <w:szCs w:val="24"/>
        </w:rPr>
        <w:t>,</w:t>
      </w:r>
      <w:r w:rsidRPr="00AB218C">
        <w:rPr>
          <w:rStyle w:val="highlight"/>
          <w:color w:val="000000"/>
          <w:szCs w:val="24"/>
        </w:rPr>
        <w:t xml:space="preserve"> Vol.</w:t>
      </w:r>
      <w:r w:rsidRPr="00AB218C">
        <w:rPr>
          <w:color w:val="000000"/>
          <w:szCs w:val="24"/>
        </w:rPr>
        <w:t xml:space="preserve"> 58, </w:t>
      </w:r>
      <w:r w:rsidRPr="00AB218C">
        <w:rPr>
          <w:rStyle w:val="highlight"/>
          <w:color w:val="000000"/>
          <w:szCs w:val="24"/>
        </w:rPr>
        <w:t>No.</w:t>
      </w:r>
      <w:r w:rsidRPr="00AB218C">
        <w:rPr>
          <w:color w:val="000000"/>
          <w:szCs w:val="24"/>
        </w:rPr>
        <w:t> 3-4</w:t>
      </w:r>
      <w:r w:rsidRPr="00AB218C">
        <w:rPr>
          <w:iCs/>
          <w:color w:val="000000"/>
          <w:szCs w:val="24"/>
        </w:rPr>
        <w:t>, pp.</w:t>
      </w:r>
      <w:r w:rsidRPr="00AB218C">
        <w:rPr>
          <w:color w:val="000000"/>
          <w:szCs w:val="24"/>
        </w:rPr>
        <w:t>106-130</w:t>
      </w:r>
    </w:p>
    <w:p w:rsidR="00526D8A" w:rsidRPr="00AB218C" w:rsidRDefault="00526D8A" w:rsidP="001213AB">
      <w:pPr>
        <w:spacing w:before="20" w:line="276" w:lineRule="auto"/>
        <w:ind w:left="426" w:hanging="426"/>
        <w:jc w:val="both"/>
        <w:rPr>
          <w:szCs w:val="24"/>
          <w:lang w:val="mk-MK"/>
        </w:rPr>
      </w:pPr>
      <w:r w:rsidRPr="00AB218C">
        <w:rPr>
          <w:color w:val="000000"/>
          <w:szCs w:val="24"/>
        </w:rPr>
        <w:t xml:space="preserve">Berk, A. (2007) “The Role of Capital Market in Determining Capital Structure: Evidence from Slovenian Public and Private Corporations”, </w:t>
      </w:r>
      <w:r w:rsidRPr="00AB218C">
        <w:rPr>
          <w:i/>
          <w:color w:val="000000"/>
          <w:szCs w:val="24"/>
        </w:rPr>
        <w:t>Acta Oeconomica</w:t>
      </w:r>
      <w:r w:rsidRPr="00AB218C">
        <w:rPr>
          <w:color w:val="000000"/>
          <w:szCs w:val="24"/>
        </w:rPr>
        <w:t>, Vol. 57, No. 2, pp. 123-155</w:t>
      </w:r>
    </w:p>
    <w:p w:rsidR="00526D8A" w:rsidRPr="00AB218C" w:rsidRDefault="00526D8A" w:rsidP="001213AB">
      <w:pPr>
        <w:autoSpaceDE w:val="0"/>
        <w:autoSpaceDN w:val="0"/>
        <w:adjustRightInd w:val="0"/>
        <w:spacing w:before="20" w:line="276" w:lineRule="auto"/>
        <w:ind w:left="426" w:hanging="426"/>
        <w:jc w:val="both"/>
        <w:rPr>
          <w:rFonts w:eastAsia="Times New Roman"/>
          <w:szCs w:val="24"/>
          <w:lang w:val="mk-MK"/>
        </w:rPr>
      </w:pPr>
      <w:r w:rsidRPr="00AB218C">
        <w:rPr>
          <w:rFonts w:eastAsia="Times New Roman"/>
          <w:szCs w:val="24"/>
        </w:rPr>
        <w:t xml:space="preserve">Brickley, J.A., Smith Jr. , C.W. &amp; Zimmerman, J.L. (2002). Business ethics and organizational architecture, </w:t>
      </w:r>
      <w:r w:rsidRPr="00AB218C">
        <w:rPr>
          <w:rFonts w:eastAsia="Times New Roman"/>
          <w:i/>
          <w:szCs w:val="24"/>
        </w:rPr>
        <w:t>Journal of Banking and Finance</w:t>
      </w:r>
      <w:r w:rsidRPr="00AB218C">
        <w:rPr>
          <w:rFonts w:eastAsia="Times New Roman"/>
          <w:szCs w:val="24"/>
        </w:rPr>
        <w:t>, 26(9), 1821-1835</w:t>
      </w:r>
    </w:p>
    <w:p w:rsidR="00B22D4A" w:rsidRPr="00AB218C" w:rsidRDefault="00881C7B" w:rsidP="001213AB">
      <w:pPr>
        <w:spacing w:before="20" w:line="276" w:lineRule="auto"/>
        <w:ind w:left="426" w:hanging="426"/>
        <w:jc w:val="both"/>
        <w:rPr>
          <w:szCs w:val="24"/>
          <w:lang w:val="mk-MK"/>
        </w:rPr>
      </w:pPr>
      <w:r w:rsidRPr="00AB218C">
        <w:rPr>
          <w:color w:val="000000"/>
          <w:szCs w:val="24"/>
        </w:rPr>
        <w:t xml:space="preserve">Cvijanović, V., Redžepagić, D. (2011) “From political capitalism to clientelist capitalism? The case of Croatia”, </w:t>
      </w:r>
      <w:r w:rsidRPr="00AB218C">
        <w:rPr>
          <w:i/>
          <w:color w:val="000000"/>
          <w:szCs w:val="24"/>
        </w:rPr>
        <w:t>Zbornik radova Ekonomskog fakulteta u Rijeci</w:t>
      </w:r>
      <w:r w:rsidRPr="00AB218C">
        <w:rPr>
          <w:color w:val="000000"/>
          <w:szCs w:val="24"/>
        </w:rPr>
        <w:t>, Vol. 29, No.2</w:t>
      </w:r>
      <w:r w:rsidRPr="00AB218C">
        <w:rPr>
          <w:iCs/>
          <w:color w:val="000000"/>
          <w:szCs w:val="24"/>
        </w:rPr>
        <w:t>, pp.</w:t>
      </w:r>
      <w:r w:rsidRPr="00AB218C">
        <w:rPr>
          <w:color w:val="000000"/>
          <w:szCs w:val="24"/>
        </w:rPr>
        <w:t xml:space="preserve"> 355-372</w:t>
      </w:r>
    </w:p>
    <w:p w:rsidR="00B22D4A" w:rsidRPr="00AB218C" w:rsidRDefault="003B2DE4" w:rsidP="001213AB">
      <w:pPr>
        <w:spacing w:before="20" w:line="276" w:lineRule="auto"/>
        <w:ind w:left="426" w:hanging="426"/>
        <w:jc w:val="both"/>
        <w:rPr>
          <w:szCs w:val="24"/>
          <w:lang w:val="mk-MK"/>
        </w:rPr>
      </w:pPr>
      <w:r w:rsidRPr="00AB218C">
        <w:rPr>
          <w:color w:val="000000"/>
          <w:szCs w:val="24"/>
          <w:lang w:eastAsia="en-GB"/>
        </w:rPr>
        <w:t>Č</w:t>
      </w:r>
      <w:r w:rsidRPr="00AB218C">
        <w:rPr>
          <w:color w:val="000000"/>
          <w:szCs w:val="24"/>
          <w:lang w:eastAsia="mk-MK"/>
        </w:rPr>
        <w:t xml:space="preserve">rnigoj, M., Mramor, D. (2009) "Determinants of Capital Structure in Emerging European Economies: Evidence from Slovenian Firms", </w:t>
      </w:r>
      <w:r w:rsidRPr="00AB218C">
        <w:rPr>
          <w:i/>
          <w:color w:val="000000"/>
          <w:szCs w:val="24"/>
          <w:lang w:eastAsia="mk-MK"/>
        </w:rPr>
        <w:t>Emerging Markets Finance &amp; Trade</w:t>
      </w:r>
      <w:r w:rsidRPr="00AB218C">
        <w:rPr>
          <w:color w:val="000000"/>
          <w:szCs w:val="24"/>
          <w:lang w:eastAsia="mk-MK"/>
        </w:rPr>
        <w:t>, Vol. 45, No. 1, pp. 72–89</w:t>
      </w:r>
    </w:p>
    <w:p w:rsidR="00526D8A" w:rsidRPr="00AB218C" w:rsidRDefault="00526D8A" w:rsidP="001213AB">
      <w:pPr>
        <w:spacing w:before="20" w:line="276" w:lineRule="auto"/>
        <w:ind w:left="426" w:hanging="426"/>
        <w:jc w:val="both"/>
        <w:rPr>
          <w:color w:val="000000"/>
          <w:szCs w:val="24"/>
        </w:rPr>
      </w:pPr>
      <w:r w:rsidRPr="00AB218C">
        <w:rPr>
          <w:color w:val="000000"/>
          <w:szCs w:val="24"/>
        </w:rPr>
        <w:lastRenderedPageBreak/>
        <w:t xml:space="preserve">Dewenter, K. and V. Warther, 1998, “Dividends, Asymmetric Information, and Agency Conflicts: Evidence from A Comparison of the Dividend Policies of Japanese and US Firms,” </w:t>
      </w:r>
      <w:r w:rsidRPr="00AB218C">
        <w:rPr>
          <w:i/>
          <w:color w:val="000000"/>
          <w:szCs w:val="24"/>
        </w:rPr>
        <w:t>Journal of Finance</w:t>
      </w:r>
      <w:r w:rsidRPr="00AB218C">
        <w:rPr>
          <w:color w:val="000000"/>
          <w:szCs w:val="24"/>
        </w:rPr>
        <w:t xml:space="preserve"> 53, 879-904.</w:t>
      </w:r>
    </w:p>
    <w:p w:rsidR="00B22D4A" w:rsidRPr="00AB218C" w:rsidRDefault="00B22D4A" w:rsidP="001213AB">
      <w:pPr>
        <w:autoSpaceDE w:val="0"/>
        <w:autoSpaceDN w:val="0"/>
        <w:adjustRightInd w:val="0"/>
        <w:spacing w:before="20" w:line="276" w:lineRule="auto"/>
        <w:ind w:left="426" w:hanging="426"/>
        <w:jc w:val="both"/>
        <w:rPr>
          <w:szCs w:val="24"/>
        </w:rPr>
      </w:pPr>
      <w:r w:rsidRPr="00AB218C">
        <w:rPr>
          <w:szCs w:val="24"/>
        </w:rPr>
        <w:t xml:space="preserve">Djankov, S. &amp; Murrell P. (2002). Enterprise restructuring in transition: A quantitative survey, </w:t>
      </w:r>
      <w:r w:rsidRPr="00AB218C">
        <w:rPr>
          <w:i/>
          <w:szCs w:val="24"/>
        </w:rPr>
        <w:t>Journal of Economic Literature, 40</w:t>
      </w:r>
      <w:r w:rsidRPr="00AB218C">
        <w:rPr>
          <w:szCs w:val="24"/>
        </w:rPr>
        <w:t>, 739–792.</w:t>
      </w:r>
    </w:p>
    <w:p w:rsidR="00B22D4A" w:rsidRPr="00AB218C" w:rsidRDefault="00B22D4A" w:rsidP="001213AB">
      <w:pPr>
        <w:autoSpaceDE w:val="0"/>
        <w:autoSpaceDN w:val="0"/>
        <w:adjustRightInd w:val="0"/>
        <w:spacing w:before="20" w:line="276" w:lineRule="auto"/>
        <w:ind w:left="426" w:hanging="426"/>
        <w:jc w:val="both"/>
        <w:rPr>
          <w:szCs w:val="24"/>
        </w:rPr>
      </w:pPr>
      <w:r w:rsidRPr="00AB218C">
        <w:rPr>
          <w:szCs w:val="24"/>
        </w:rPr>
        <w:t xml:space="preserve">Filatotchev, I., Wright M., K. Uhlenbruck, Tihanyi L., Hoskisson R. E. (2003). Governance, organizational capabilities, and restructuring in transition economies, </w:t>
      </w:r>
      <w:r w:rsidRPr="00AB218C">
        <w:rPr>
          <w:i/>
          <w:szCs w:val="24"/>
        </w:rPr>
        <w:t>Journal of World Business 38</w:t>
      </w:r>
      <w:r w:rsidRPr="00AB218C">
        <w:rPr>
          <w:szCs w:val="24"/>
        </w:rPr>
        <w:t>, 331–347.</w:t>
      </w:r>
    </w:p>
    <w:p w:rsidR="00526D8A" w:rsidRPr="00AB218C" w:rsidRDefault="00526D8A" w:rsidP="001213AB">
      <w:pPr>
        <w:pStyle w:val="Heading1"/>
        <w:spacing w:before="20" w:line="276" w:lineRule="auto"/>
        <w:ind w:left="426" w:hanging="426"/>
        <w:jc w:val="both"/>
        <w:rPr>
          <w:rStyle w:val="cit-last-page"/>
          <w:rFonts w:ascii="Times New Roman" w:hAnsi="Times New Roman"/>
          <w:iCs/>
          <w:color w:val="000000"/>
        </w:rPr>
      </w:pPr>
      <w:r w:rsidRPr="00AB218C">
        <w:rPr>
          <w:rStyle w:val="cit-auth"/>
          <w:rFonts w:ascii="Times New Roman" w:hAnsi="Times New Roman"/>
          <w:color w:val="000000"/>
        </w:rPr>
        <w:t>Gonenc, H., (2003) “</w:t>
      </w:r>
      <w:r w:rsidRPr="00AB218C">
        <w:rPr>
          <w:rFonts w:ascii="Times New Roman" w:hAnsi="Times New Roman"/>
          <w:color w:val="000000"/>
        </w:rPr>
        <w:t xml:space="preserve">Capital Structure Decisions Under Micro Institutional Settings: The Case of Turkey”, </w:t>
      </w:r>
      <w:r w:rsidRPr="00AB218C">
        <w:rPr>
          <w:rStyle w:val="site-title"/>
          <w:rFonts w:ascii="Times New Roman" w:hAnsi="Times New Roman"/>
          <w:i/>
          <w:iCs/>
          <w:color w:val="000000"/>
        </w:rPr>
        <w:t xml:space="preserve">Journal of Emerging Market Finance, </w:t>
      </w:r>
      <w:r w:rsidRPr="00AB218C">
        <w:rPr>
          <w:rStyle w:val="site-title"/>
          <w:rFonts w:ascii="Times New Roman" w:hAnsi="Times New Roman"/>
          <w:iCs/>
          <w:color w:val="000000"/>
        </w:rPr>
        <w:t>Vol.</w:t>
      </w:r>
      <w:r w:rsidRPr="00AB218C">
        <w:rPr>
          <w:rStyle w:val="cit-print-date"/>
          <w:rFonts w:ascii="Times New Roman" w:hAnsi="Times New Roman"/>
          <w:i/>
          <w:iCs/>
          <w:color w:val="000000"/>
        </w:rPr>
        <w:t xml:space="preserve"> </w:t>
      </w:r>
      <w:r w:rsidRPr="00AB218C">
        <w:rPr>
          <w:rStyle w:val="cit-vol"/>
          <w:rFonts w:ascii="Times New Roman" w:hAnsi="Times New Roman"/>
          <w:iCs/>
          <w:color w:val="000000"/>
        </w:rPr>
        <w:t>2, No.1</w:t>
      </w:r>
      <w:r w:rsidRPr="00AB218C">
        <w:rPr>
          <w:rFonts w:ascii="Times New Roman" w:hAnsi="Times New Roman"/>
          <w:iCs/>
          <w:color w:val="000000"/>
        </w:rPr>
        <w:t>, pp.</w:t>
      </w:r>
      <w:r w:rsidRPr="00AB218C">
        <w:rPr>
          <w:rStyle w:val="cit-sep"/>
          <w:rFonts w:ascii="Times New Roman" w:hAnsi="Times New Roman"/>
          <w:iCs/>
          <w:color w:val="000000"/>
        </w:rPr>
        <w:t xml:space="preserve"> </w:t>
      </w:r>
      <w:r w:rsidRPr="00AB218C">
        <w:rPr>
          <w:rStyle w:val="cit-first-page"/>
          <w:rFonts w:ascii="Times New Roman" w:hAnsi="Times New Roman"/>
          <w:iCs/>
          <w:color w:val="000000"/>
        </w:rPr>
        <w:t>57</w:t>
      </w:r>
      <w:r w:rsidRPr="00AB218C">
        <w:rPr>
          <w:rStyle w:val="cit-sep"/>
          <w:rFonts w:ascii="Times New Roman" w:hAnsi="Times New Roman"/>
          <w:iCs/>
          <w:color w:val="000000"/>
        </w:rPr>
        <w:t>-</w:t>
      </w:r>
      <w:r w:rsidRPr="00AB218C">
        <w:rPr>
          <w:rStyle w:val="cit-last-page"/>
          <w:rFonts w:ascii="Times New Roman" w:hAnsi="Times New Roman"/>
          <w:iCs/>
          <w:color w:val="000000"/>
        </w:rPr>
        <w:t>82</w:t>
      </w:r>
    </w:p>
    <w:p w:rsidR="00526D8A" w:rsidRPr="00AB218C" w:rsidRDefault="00526D8A" w:rsidP="001213AB">
      <w:pPr>
        <w:autoSpaceDE w:val="0"/>
        <w:autoSpaceDN w:val="0"/>
        <w:adjustRightInd w:val="0"/>
        <w:spacing w:before="20" w:line="276" w:lineRule="auto"/>
        <w:ind w:left="426" w:hanging="426"/>
        <w:jc w:val="both"/>
        <w:rPr>
          <w:rFonts w:eastAsia="Times New Roman"/>
          <w:bCs/>
          <w:kern w:val="36"/>
          <w:szCs w:val="24"/>
        </w:rPr>
      </w:pPr>
      <w:r w:rsidRPr="00AB218C">
        <w:rPr>
          <w:rFonts w:eastAsia="Times New Roman"/>
          <w:bCs/>
          <w:kern w:val="36"/>
          <w:szCs w:val="24"/>
        </w:rPr>
        <w:t xml:space="preserve">Höpner, M. (2001). </w:t>
      </w:r>
      <w:r w:rsidRPr="00AB218C">
        <w:rPr>
          <w:rFonts w:eastAsia="Times New Roman"/>
          <w:bCs/>
          <w:i/>
          <w:kern w:val="36"/>
          <w:szCs w:val="24"/>
        </w:rPr>
        <w:t>Corporate governance in transition: Ten empirical findings on shareholder value and industrial relations in Germany</w:t>
      </w:r>
      <w:r w:rsidRPr="00AB218C">
        <w:rPr>
          <w:rFonts w:eastAsia="Times New Roman"/>
          <w:bCs/>
          <w:kern w:val="36"/>
          <w:szCs w:val="24"/>
        </w:rPr>
        <w:t>, Köln: Max-Planck-Institut Für Gesellschaftsforschung.</w:t>
      </w:r>
    </w:p>
    <w:p w:rsidR="00526D8A" w:rsidRPr="00AB218C" w:rsidRDefault="00526D8A" w:rsidP="001213AB">
      <w:pPr>
        <w:autoSpaceDE w:val="0"/>
        <w:autoSpaceDN w:val="0"/>
        <w:adjustRightInd w:val="0"/>
        <w:spacing w:before="20" w:line="276" w:lineRule="auto"/>
        <w:ind w:left="426" w:hanging="426"/>
        <w:jc w:val="both"/>
        <w:rPr>
          <w:szCs w:val="24"/>
        </w:rPr>
      </w:pPr>
      <w:r w:rsidRPr="00AB218C">
        <w:rPr>
          <w:color w:val="000000"/>
          <w:szCs w:val="24"/>
        </w:rPr>
        <w:t xml:space="preserve">Jõeveer, K., (2013) "Firm, country and macroeconomic determinants of capital structure: Evidence from transition economies," </w:t>
      </w:r>
      <w:r w:rsidRPr="00AB218C">
        <w:rPr>
          <w:i/>
          <w:color w:val="000000"/>
          <w:szCs w:val="24"/>
        </w:rPr>
        <w:t>Journal of Comparative Economics</w:t>
      </w:r>
      <w:r w:rsidRPr="00AB218C">
        <w:rPr>
          <w:color w:val="000000"/>
          <w:szCs w:val="24"/>
        </w:rPr>
        <w:t>, Vol. 41, No. 1</w:t>
      </w:r>
    </w:p>
    <w:p w:rsidR="00526D8A" w:rsidRPr="00AB218C" w:rsidRDefault="00526D8A" w:rsidP="001213AB">
      <w:pPr>
        <w:spacing w:before="20" w:line="276" w:lineRule="auto"/>
        <w:ind w:left="426" w:hanging="426"/>
        <w:jc w:val="both"/>
        <w:rPr>
          <w:color w:val="000000"/>
          <w:szCs w:val="24"/>
          <w:lang w:val="mk-MK"/>
        </w:rPr>
      </w:pPr>
      <w:r w:rsidRPr="00AB218C">
        <w:rPr>
          <w:color w:val="000000"/>
          <w:szCs w:val="24"/>
        </w:rPr>
        <w:t xml:space="preserve">Kato, K. and U. Lowentein, 1995, “The Ex−dividend–day Behaviour of Stock Prices: The case of Japan,” </w:t>
      </w:r>
      <w:r w:rsidRPr="00AB218C">
        <w:rPr>
          <w:i/>
          <w:color w:val="000000"/>
          <w:szCs w:val="24"/>
        </w:rPr>
        <w:t>Review of Financial Studies</w:t>
      </w:r>
      <w:r w:rsidRPr="00AB218C">
        <w:rPr>
          <w:color w:val="000000"/>
          <w:szCs w:val="24"/>
        </w:rPr>
        <w:t xml:space="preserve"> 8, 817-847.</w:t>
      </w:r>
    </w:p>
    <w:p w:rsidR="00B22D4A" w:rsidRPr="00AB218C" w:rsidRDefault="00B22D4A" w:rsidP="001213AB">
      <w:pPr>
        <w:autoSpaceDE w:val="0"/>
        <w:autoSpaceDN w:val="0"/>
        <w:adjustRightInd w:val="0"/>
        <w:spacing w:before="20" w:line="276" w:lineRule="auto"/>
        <w:ind w:left="426" w:hanging="426"/>
        <w:jc w:val="both"/>
        <w:rPr>
          <w:szCs w:val="24"/>
        </w:rPr>
      </w:pPr>
      <w:r w:rsidRPr="00AB218C">
        <w:rPr>
          <w:szCs w:val="24"/>
        </w:rPr>
        <w:t>Korent D., I. Đunđek &amp;</w:t>
      </w:r>
      <w:r w:rsidRPr="00AB218C">
        <w:rPr>
          <w:i/>
          <w:szCs w:val="24"/>
        </w:rPr>
        <w:t xml:space="preserve"> </w:t>
      </w:r>
      <w:r w:rsidRPr="00AB218C">
        <w:rPr>
          <w:szCs w:val="24"/>
        </w:rPr>
        <w:t xml:space="preserve">M.K. Čalopa (2014),. Corporate governance practices and firm performance measured by Croatian Corporate Governance Index (CCGI®), </w:t>
      </w:r>
      <w:r w:rsidRPr="00AB218C">
        <w:rPr>
          <w:i/>
          <w:szCs w:val="24"/>
        </w:rPr>
        <w:t>Economic Research-Ekonomska Istraživanja</w:t>
      </w:r>
      <w:r w:rsidRPr="00AB218C">
        <w:rPr>
          <w:szCs w:val="24"/>
        </w:rPr>
        <w:t>, Vol. 27, No. 1, 221</w:t>
      </w:r>
      <w:r w:rsidRPr="00AB218C">
        <w:rPr>
          <w:rFonts w:eastAsia="AdvTTec369687+20"/>
          <w:szCs w:val="24"/>
        </w:rPr>
        <w:t>–</w:t>
      </w:r>
      <w:r w:rsidRPr="00AB218C">
        <w:rPr>
          <w:szCs w:val="24"/>
        </w:rPr>
        <w:t>231.</w:t>
      </w:r>
    </w:p>
    <w:p w:rsidR="00526D8A" w:rsidRPr="00AB218C" w:rsidRDefault="00526D8A" w:rsidP="001213AB">
      <w:pPr>
        <w:pStyle w:val="Heading1"/>
        <w:spacing w:before="20" w:line="276" w:lineRule="auto"/>
        <w:ind w:left="426" w:hanging="426"/>
        <w:jc w:val="both"/>
        <w:rPr>
          <w:rFonts w:ascii="Times New Roman" w:hAnsi="Times New Roman"/>
        </w:rPr>
      </w:pPr>
      <w:r w:rsidRPr="00AB218C">
        <w:rPr>
          <w:rFonts w:ascii="Times New Roman" w:hAnsi="Times New Roman"/>
        </w:rPr>
        <w:t xml:space="preserve">Kowalewski, Oskar (2012), “Does Corporate Governance Determine Corporate Performance and Dividends During Financial Crisis: Evidence from </w:t>
      </w:r>
      <w:r w:rsidRPr="00AB218C">
        <w:rPr>
          <w:rStyle w:val="searchtermshighlighted"/>
          <w:rFonts w:ascii="Times New Roman" w:hAnsi="Times New Roman"/>
        </w:rPr>
        <w:t xml:space="preserve">Poland”, </w:t>
      </w:r>
      <w:r w:rsidRPr="00AB218C">
        <w:rPr>
          <w:rFonts w:ascii="Times New Roman" w:hAnsi="Times New Roman"/>
          <w:i/>
        </w:rPr>
        <w:t>Wharton Financial Institutions Center Working Paper</w:t>
      </w:r>
      <w:r w:rsidRPr="00AB218C">
        <w:rPr>
          <w:rFonts w:ascii="Times New Roman" w:hAnsi="Times New Roman"/>
        </w:rPr>
        <w:t xml:space="preserve"> No. 12-14</w:t>
      </w:r>
    </w:p>
    <w:p w:rsidR="00526D8A" w:rsidRPr="00AB218C" w:rsidRDefault="00526D8A" w:rsidP="001213AB">
      <w:pPr>
        <w:autoSpaceDE w:val="0"/>
        <w:autoSpaceDN w:val="0"/>
        <w:adjustRightInd w:val="0"/>
        <w:spacing w:before="20" w:line="276" w:lineRule="auto"/>
        <w:ind w:left="426" w:hanging="426"/>
        <w:jc w:val="both"/>
        <w:rPr>
          <w:szCs w:val="24"/>
        </w:rPr>
      </w:pPr>
      <w:r w:rsidRPr="00AB218C">
        <w:rPr>
          <w:szCs w:val="24"/>
        </w:rPr>
        <w:t>La Porta, R., F. Lopez-de-Silanes, A. Shleifer, and R. Vishny, 1998, Law and finance, Journal of</w:t>
      </w:r>
      <w:r w:rsidR="001442CD" w:rsidRPr="00AB218C">
        <w:rPr>
          <w:szCs w:val="24"/>
        </w:rPr>
        <w:t xml:space="preserve"> </w:t>
      </w:r>
      <w:r w:rsidRPr="00AB218C">
        <w:rPr>
          <w:szCs w:val="24"/>
        </w:rPr>
        <w:t>Political Economy 106, 1113-1155.</w:t>
      </w:r>
    </w:p>
    <w:p w:rsidR="00526D8A" w:rsidRPr="00AB218C" w:rsidRDefault="00526D8A" w:rsidP="001213AB">
      <w:pPr>
        <w:spacing w:before="20" w:line="276" w:lineRule="auto"/>
        <w:ind w:left="426" w:hanging="426"/>
        <w:jc w:val="both"/>
        <w:rPr>
          <w:color w:val="000000"/>
          <w:szCs w:val="24"/>
          <w:lang w:val="mk-MK"/>
        </w:rPr>
      </w:pPr>
      <w:r w:rsidRPr="00AB218C">
        <w:rPr>
          <w:color w:val="000000"/>
          <w:szCs w:val="24"/>
        </w:rPr>
        <w:t xml:space="preserve">Lasfer, M., 1996, “Taxes and Dividends: The UK Evidence,” </w:t>
      </w:r>
      <w:r w:rsidRPr="00AB218C">
        <w:rPr>
          <w:i/>
          <w:color w:val="000000"/>
          <w:szCs w:val="24"/>
        </w:rPr>
        <w:t>Journal of Banking and Finance</w:t>
      </w:r>
      <w:r w:rsidRPr="00AB218C">
        <w:rPr>
          <w:color w:val="000000"/>
          <w:szCs w:val="24"/>
        </w:rPr>
        <w:t xml:space="preserve"> 20, 455-472.</w:t>
      </w:r>
    </w:p>
    <w:p w:rsidR="00881C7B" w:rsidRPr="00AB218C" w:rsidRDefault="00881C7B" w:rsidP="001213AB">
      <w:pPr>
        <w:spacing w:before="20" w:line="276" w:lineRule="auto"/>
        <w:ind w:left="426" w:hanging="426"/>
        <w:jc w:val="both"/>
        <w:rPr>
          <w:color w:val="000000"/>
          <w:szCs w:val="24"/>
          <w:lang w:eastAsia="mk-MK"/>
        </w:rPr>
      </w:pPr>
      <w:r w:rsidRPr="00AB218C">
        <w:rPr>
          <w:color w:val="000000"/>
          <w:szCs w:val="24"/>
          <w:lang w:val="mk-MK" w:eastAsia="mk-MK"/>
        </w:rPr>
        <w:t>Myers, S</w:t>
      </w:r>
      <w:r w:rsidRPr="00AB218C">
        <w:rPr>
          <w:color w:val="000000"/>
          <w:szCs w:val="24"/>
          <w:lang w:eastAsia="mk-MK"/>
        </w:rPr>
        <w:t>.</w:t>
      </w:r>
      <w:r w:rsidRPr="00AB218C">
        <w:rPr>
          <w:color w:val="000000"/>
          <w:szCs w:val="24"/>
          <w:lang w:val="mk-MK" w:eastAsia="mk-MK"/>
        </w:rPr>
        <w:t xml:space="preserve">C. </w:t>
      </w:r>
      <w:r w:rsidRPr="00AB218C">
        <w:rPr>
          <w:color w:val="000000"/>
          <w:szCs w:val="24"/>
          <w:lang w:eastAsia="mk-MK"/>
        </w:rPr>
        <w:t>(</w:t>
      </w:r>
      <w:r w:rsidRPr="00AB218C">
        <w:rPr>
          <w:color w:val="000000"/>
          <w:szCs w:val="24"/>
          <w:lang w:val="mk-MK" w:eastAsia="mk-MK"/>
        </w:rPr>
        <w:t>1984</w:t>
      </w:r>
      <w:r w:rsidRPr="00AB218C">
        <w:rPr>
          <w:color w:val="000000"/>
          <w:szCs w:val="24"/>
          <w:lang w:eastAsia="mk-MK"/>
        </w:rPr>
        <w:t>)</w:t>
      </w:r>
      <w:r w:rsidRPr="00AB218C">
        <w:rPr>
          <w:color w:val="000000"/>
          <w:szCs w:val="24"/>
          <w:lang w:val="mk-MK" w:eastAsia="mk-MK"/>
        </w:rPr>
        <w:t xml:space="preserve"> </w:t>
      </w:r>
      <w:r w:rsidRPr="00AB218C">
        <w:rPr>
          <w:color w:val="000000"/>
          <w:szCs w:val="24"/>
          <w:lang w:eastAsia="mk-MK"/>
        </w:rPr>
        <w:t>“</w:t>
      </w:r>
      <w:r w:rsidRPr="00AB218C">
        <w:rPr>
          <w:color w:val="000000"/>
          <w:szCs w:val="24"/>
          <w:lang w:val="mk-MK" w:eastAsia="mk-MK"/>
        </w:rPr>
        <w:t>The capital structure puzzle</w:t>
      </w:r>
      <w:r w:rsidRPr="00AB218C">
        <w:rPr>
          <w:color w:val="000000"/>
          <w:szCs w:val="24"/>
          <w:lang w:eastAsia="mk-MK"/>
        </w:rPr>
        <w:t>”</w:t>
      </w:r>
      <w:r w:rsidRPr="00AB218C">
        <w:rPr>
          <w:color w:val="000000"/>
          <w:szCs w:val="24"/>
          <w:lang w:val="mk-MK" w:eastAsia="mk-MK"/>
        </w:rPr>
        <w:t xml:space="preserve">, </w:t>
      </w:r>
      <w:r w:rsidRPr="00AB218C">
        <w:rPr>
          <w:i/>
          <w:color w:val="000000"/>
          <w:szCs w:val="24"/>
          <w:lang w:eastAsia="mk-MK"/>
        </w:rPr>
        <w:t xml:space="preserve">The </w:t>
      </w:r>
      <w:r w:rsidRPr="00AB218C">
        <w:rPr>
          <w:i/>
          <w:iCs/>
          <w:color w:val="000000"/>
          <w:szCs w:val="24"/>
          <w:lang w:val="mk-MK" w:eastAsia="mk-MK"/>
        </w:rPr>
        <w:t>Journal of Finance</w:t>
      </w:r>
      <w:r w:rsidRPr="00AB218C">
        <w:rPr>
          <w:iCs/>
          <w:color w:val="000000"/>
          <w:szCs w:val="24"/>
          <w:lang w:eastAsia="mk-MK"/>
        </w:rPr>
        <w:t xml:space="preserve">, Vol. </w:t>
      </w:r>
      <w:r w:rsidRPr="00AB218C">
        <w:rPr>
          <w:color w:val="000000"/>
          <w:szCs w:val="24"/>
          <w:lang w:val="mk-MK" w:eastAsia="mk-MK"/>
        </w:rPr>
        <w:t>39</w:t>
      </w:r>
      <w:r w:rsidRPr="00AB218C">
        <w:rPr>
          <w:iCs/>
          <w:color w:val="000000"/>
          <w:szCs w:val="24"/>
        </w:rPr>
        <w:t>, pp.</w:t>
      </w:r>
      <w:r w:rsidRPr="00AB218C">
        <w:rPr>
          <w:color w:val="000000"/>
          <w:szCs w:val="24"/>
          <w:lang w:val="mk-MK" w:eastAsia="mk-MK"/>
        </w:rPr>
        <w:t xml:space="preserve"> 575–592</w:t>
      </w:r>
    </w:p>
    <w:p w:rsidR="00881C7B" w:rsidRPr="00AB218C" w:rsidRDefault="00881C7B" w:rsidP="001213AB">
      <w:pPr>
        <w:autoSpaceDE w:val="0"/>
        <w:autoSpaceDN w:val="0"/>
        <w:adjustRightInd w:val="0"/>
        <w:spacing w:before="20" w:line="276" w:lineRule="auto"/>
        <w:ind w:left="426" w:hanging="426"/>
        <w:jc w:val="both"/>
        <w:rPr>
          <w:rFonts w:eastAsia="Times New Roman"/>
          <w:bCs/>
          <w:kern w:val="36"/>
          <w:szCs w:val="24"/>
        </w:rPr>
      </w:pPr>
      <w:r w:rsidRPr="00AB218C">
        <w:rPr>
          <w:color w:val="000000"/>
          <w:szCs w:val="24"/>
        </w:rPr>
        <w:t xml:space="preserve">Myers, S. C., Majluf, N. S. (1984) “Corporate Financing and Investment Decisions when Firms have Information the Investors do not have”, </w:t>
      </w:r>
      <w:r w:rsidRPr="00AB218C">
        <w:rPr>
          <w:i/>
          <w:iCs/>
          <w:color w:val="000000"/>
          <w:szCs w:val="24"/>
        </w:rPr>
        <w:t>Journal of Financial Economics</w:t>
      </w:r>
      <w:r w:rsidRPr="00AB218C">
        <w:rPr>
          <w:color w:val="000000"/>
          <w:szCs w:val="24"/>
        </w:rPr>
        <w:t>, Vol. 13</w:t>
      </w:r>
      <w:r w:rsidRPr="00AB218C">
        <w:rPr>
          <w:iCs/>
          <w:color w:val="000000"/>
          <w:szCs w:val="24"/>
        </w:rPr>
        <w:t>, pp.</w:t>
      </w:r>
      <w:r w:rsidRPr="00AB218C">
        <w:rPr>
          <w:color w:val="000000"/>
          <w:szCs w:val="24"/>
        </w:rPr>
        <w:t xml:space="preserve"> 187–221</w:t>
      </w:r>
    </w:p>
    <w:p w:rsidR="004E4BCC" w:rsidRPr="00AB218C" w:rsidRDefault="004E4BCC" w:rsidP="001213AB">
      <w:pPr>
        <w:spacing w:before="20" w:line="276" w:lineRule="auto"/>
        <w:ind w:left="426" w:hanging="426"/>
        <w:jc w:val="both"/>
        <w:rPr>
          <w:szCs w:val="24"/>
        </w:rPr>
      </w:pPr>
      <w:r w:rsidRPr="00AB218C">
        <w:rPr>
          <w:szCs w:val="24"/>
        </w:rPr>
        <w:t>Mramor D., Valentin</w:t>
      </w:r>
      <w:r w:rsidRPr="00AB218C">
        <w:rPr>
          <w:szCs w:val="24"/>
          <w:lang w:eastAsia="en-GB"/>
        </w:rPr>
        <w:t>č</w:t>
      </w:r>
      <w:r w:rsidRPr="00AB218C">
        <w:rPr>
          <w:rFonts w:eastAsia="Times New Roman"/>
          <w:szCs w:val="24"/>
        </w:rPr>
        <w:t>i</w:t>
      </w:r>
      <w:r w:rsidRPr="00AB218C">
        <w:rPr>
          <w:szCs w:val="24"/>
          <w:lang w:eastAsia="en-GB"/>
        </w:rPr>
        <w:t>č,</w:t>
      </w:r>
      <w:r w:rsidRPr="00AB218C">
        <w:rPr>
          <w:szCs w:val="24"/>
        </w:rPr>
        <w:t xml:space="preserve"> A. (2001). </w:t>
      </w:r>
      <w:hyperlink r:id="rId9" w:history="1">
        <w:r w:rsidRPr="00AB218C">
          <w:rPr>
            <w:szCs w:val="24"/>
          </w:rPr>
          <w:t>When Maximizing Shareholders’ Wealth Is Not the Only Choice</w:t>
        </w:r>
      </w:hyperlink>
      <w:r w:rsidRPr="00AB218C">
        <w:rPr>
          <w:szCs w:val="24"/>
        </w:rPr>
        <w:t xml:space="preserve">, </w:t>
      </w:r>
      <w:r w:rsidRPr="00AB218C">
        <w:rPr>
          <w:i/>
          <w:szCs w:val="24"/>
        </w:rPr>
        <w:t>Eastern European Economics</w:t>
      </w:r>
      <w:r w:rsidRPr="00AB218C">
        <w:rPr>
          <w:szCs w:val="24"/>
        </w:rPr>
        <w:t xml:space="preserve"> </w:t>
      </w:r>
      <w:r w:rsidRPr="00AB218C">
        <w:rPr>
          <w:i/>
          <w:szCs w:val="24"/>
        </w:rPr>
        <w:t>39</w:t>
      </w:r>
      <w:r w:rsidRPr="00AB218C">
        <w:rPr>
          <w:szCs w:val="24"/>
        </w:rPr>
        <w:t xml:space="preserve"> (6), 64-93</w:t>
      </w:r>
    </w:p>
    <w:p w:rsidR="004E4BCC" w:rsidRPr="00AB218C" w:rsidRDefault="00881C7B" w:rsidP="001213AB">
      <w:pPr>
        <w:spacing w:before="20" w:line="276" w:lineRule="auto"/>
        <w:ind w:left="426" w:hanging="426"/>
        <w:jc w:val="both"/>
        <w:rPr>
          <w:szCs w:val="24"/>
        </w:rPr>
      </w:pPr>
      <w:r w:rsidRPr="00AB218C">
        <w:rPr>
          <w:color w:val="000000"/>
          <w:szCs w:val="24"/>
        </w:rPr>
        <w:t xml:space="preserve">Modigliani, F., Miller, M. (1958) “The Cost of Capital, Corporation Finance, and the Theory of Investment”, </w:t>
      </w:r>
      <w:r w:rsidRPr="00AB218C">
        <w:rPr>
          <w:i/>
          <w:iCs/>
          <w:color w:val="000000"/>
          <w:szCs w:val="24"/>
        </w:rPr>
        <w:t>American Economic Review</w:t>
      </w:r>
      <w:r w:rsidRPr="00AB218C">
        <w:rPr>
          <w:color w:val="000000"/>
          <w:szCs w:val="24"/>
        </w:rPr>
        <w:t>, Vol. 48</w:t>
      </w:r>
      <w:r w:rsidRPr="00AB218C">
        <w:rPr>
          <w:iCs/>
          <w:color w:val="000000"/>
          <w:szCs w:val="24"/>
        </w:rPr>
        <w:t>, pp.</w:t>
      </w:r>
      <w:r w:rsidRPr="00AB218C">
        <w:rPr>
          <w:color w:val="000000"/>
          <w:szCs w:val="24"/>
        </w:rPr>
        <w:t xml:space="preserve"> 261–297</w:t>
      </w:r>
    </w:p>
    <w:p w:rsidR="00A63BAC" w:rsidRPr="00AB218C" w:rsidRDefault="00A63BAC" w:rsidP="001213AB">
      <w:pPr>
        <w:spacing w:before="20" w:line="276" w:lineRule="auto"/>
        <w:ind w:left="426" w:hanging="426"/>
        <w:jc w:val="both"/>
        <w:rPr>
          <w:color w:val="000000"/>
          <w:szCs w:val="24"/>
          <w:lang w:val="mk-MK"/>
        </w:rPr>
      </w:pPr>
      <w:r w:rsidRPr="00AB218C">
        <w:rPr>
          <w:color w:val="000000"/>
          <w:szCs w:val="24"/>
        </w:rPr>
        <w:t xml:space="preserve">Miller, M., and F. Modigliani, 1961, “Dividend Policy, Growth, and the Valuation of Shares,” </w:t>
      </w:r>
      <w:r w:rsidRPr="00AB218C">
        <w:rPr>
          <w:i/>
          <w:color w:val="000000"/>
          <w:szCs w:val="24"/>
        </w:rPr>
        <w:t>Journal of Business</w:t>
      </w:r>
      <w:r w:rsidRPr="00AB218C">
        <w:rPr>
          <w:color w:val="000000"/>
          <w:szCs w:val="24"/>
        </w:rPr>
        <w:t xml:space="preserve"> 34, 411-433.</w:t>
      </w:r>
    </w:p>
    <w:p w:rsidR="00526D8A" w:rsidRPr="00AB218C" w:rsidRDefault="00526D8A" w:rsidP="001213AB">
      <w:pPr>
        <w:pStyle w:val="Default"/>
        <w:spacing w:before="20" w:line="276" w:lineRule="auto"/>
        <w:ind w:left="426" w:hanging="426"/>
        <w:jc w:val="both"/>
        <w:rPr>
          <w:rFonts w:ascii="Times New Roman" w:hAnsi="Times New Roman" w:cs="Times New Roman"/>
        </w:rPr>
      </w:pPr>
      <w:r w:rsidRPr="00AB218C">
        <w:rPr>
          <w:rFonts w:ascii="Times New Roman" w:hAnsi="Times New Roman" w:cs="Times New Roman"/>
        </w:rPr>
        <w:t>Omet, Ghassan (2004), “</w:t>
      </w:r>
      <w:r w:rsidRPr="00AB218C">
        <w:rPr>
          <w:rFonts w:ascii="Times New Roman" w:hAnsi="Times New Roman" w:cs="Times New Roman"/>
          <w:bCs/>
        </w:rPr>
        <w:t xml:space="preserve">Dividend Policy Behaviour in the Jordanian Capital Market”, </w:t>
      </w:r>
      <w:r w:rsidRPr="00AB218C">
        <w:rPr>
          <w:rFonts w:ascii="Times New Roman" w:hAnsi="Times New Roman" w:cs="Times New Roman"/>
          <w:i/>
        </w:rPr>
        <w:t>International Journal of Business</w:t>
      </w:r>
      <w:r w:rsidRPr="00AB218C">
        <w:rPr>
          <w:rFonts w:ascii="Times New Roman" w:hAnsi="Times New Roman" w:cs="Times New Roman"/>
        </w:rPr>
        <w:t>, 9(3).</w:t>
      </w:r>
    </w:p>
    <w:p w:rsidR="00526D8A" w:rsidRPr="00AB218C" w:rsidRDefault="00526D8A" w:rsidP="001213AB">
      <w:pPr>
        <w:spacing w:before="20" w:line="276" w:lineRule="auto"/>
        <w:ind w:left="426" w:hanging="426"/>
        <w:jc w:val="both"/>
        <w:rPr>
          <w:color w:val="000000"/>
        </w:rPr>
      </w:pPr>
      <w:r w:rsidRPr="00AB218C">
        <w:rPr>
          <w:color w:val="000000"/>
        </w:rPr>
        <w:t xml:space="preserve">Peev, E. (2001) “Corporate Governance Transformation in Transition Economies: Evidence from Bulgaria”, </w:t>
      </w:r>
      <w:r w:rsidRPr="00AB218C">
        <w:rPr>
          <w:i/>
          <w:color w:val="000000"/>
        </w:rPr>
        <w:t xml:space="preserve">Vierteljahrshefte zur Wirtschaftsforschung / Quarterly Journal of Economic Research, </w:t>
      </w:r>
      <w:r w:rsidRPr="00AB218C">
        <w:rPr>
          <w:color w:val="000000"/>
        </w:rPr>
        <w:t>Vol. 70, No. 2</w:t>
      </w:r>
      <w:r w:rsidRPr="00AB218C">
        <w:rPr>
          <w:iCs/>
          <w:color w:val="000000"/>
        </w:rPr>
        <w:t>, pp.</w:t>
      </w:r>
      <w:r w:rsidRPr="00AB218C">
        <w:rPr>
          <w:color w:val="000000"/>
        </w:rPr>
        <w:t xml:space="preserve"> 289-300</w:t>
      </w:r>
    </w:p>
    <w:p w:rsidR="00A63BAC" w:rsidRPr="00AB218C" w:rsidRDefault="00A63BAC" w:rsidP="001213AB">
      <w:pPr>
        <w:spacing w:before="20" w:line="276" w:lineRule="auto"/>
        <w:ind w:left="426" w:hanging="426"/>
        <w:jc w:val="both"/>
        <w:rPr>
          <w:color w:val="000000"/>
          <w:szCs w:val="24"/>
          <w:lang w:val="mk-MK"/>
        </w:rPr>
      </w:pPr>
      <w:r w:rsidRPr="00AB218C">
        <w:rPr>
          <w:color w:val="000000"/>
          <w:szCs w:val="24"/>
        </w:rPr>
        <w:lastRenderedPageBreak/>
        <w:t xml:space="preserve">Roy, S., and J. Cheung, 1985, “Target Payout and the Association between Dividends and Share Prices,” </w:t>
      </w:r>
      <w:r w:rsidRPr="00AB218C">
        <w:rPr>
          <w:i/>
          <w:color w:val="000000"/>
          <w:szCs w:val="24"/>
        </w:rPr>
        <w:t>Accounting and Finance</w:t>
      </w:r>
      <w:r w:rsidRPr="00AB218C">
        <w:rPr>
          <w:color w:val="000000"/>
          <w:szCs w:val="24"/>
        </w:rPr>
        <w:t xml:space="preserve"> 25, 57-76.</w:t>
      </w:r>
    </w:p>
    <w:p w:rsidR="00526D8A" w:rsidRPr="00AB218C" w:rsidRDefault="00526D8A" w:rsidP="001213AB">
      <w:pPr>
        <w:autoSpaceDE w:val="0"/>
        <w:autoSpaceDN w:val="0"/>
        <w:adjustRightInd w:val="0"/>
        <w:spacing w:before="20" w:line="276" w:lineRule="auto"/>
        <w:ind w:left="426" w:hanging="426"/>
        <w:jc w:val="both"/>
        <w:rPr>
          <w:szCs w:val="24"/>
        </w:rPr>
      </w:pPr>
      <w:r w:rsidRPr="00AB218C">
        <w:rPr>
          <w:szCs w:val="24"/>
        </w:rPr>
        <w:t xml:space="preserve">Stubelj, I., Dolenc P., Biloslavo R., Nahtigal M. &amp; Laporšek S. (2017). Corporate purpose in a small post-transitional economy: the case of Slovenia, </w:t>
      </w:r>
      <w:r w:rsidRPr="00AB218C">
        <w:rPr>
          <w:i/>
          <w:szCs w:val="24"/>
        </w:rPr>
        <w:t>Economic Research-Ekonomska Istraživanja,</w:t>
      </w:r>
      <w:r w:rsidRPr="00AB218C">
        <w:rPr>
          <w:szCs w:val="24"/>
        </w:rPr>
        <w:t xml:space="preserve"> 30 (1), 818-835</w:t>
      </w:r>
    </w:p>
    <w:p w:rsidR="00792A87" w:rsidRPr="00AB218C" w:rsidRDefault="00881C7B" w:rsidP="001213AB">
      <w:pPr>
        <w:spacing w:before="20" w:line="276" w:lineRule="auto"/>
        <w:ind w:left="426" w:hanging="426"/>
        <w:jc w:val="both"/>
        <w:rPr>
          <w:color w:val="000000"/>
          <w:szCs w:val="24"/>
        </w:rPr>
      </w:pPr>
      <w:r w:rsidRPr="00AB218C">
        <w:rPr>
          <w:bCs/>
          <w:color w:val="000000"/>
          <w:szCs w:val="24"/>
        </w:rPr>
        <w:t xml:space="preserve">Teker D., Tasseven, O., Tukel, A. (2009) “Determinants of Capital Structure for Turkish Firms: A Panel Data Analysis”, </w:t>
      </w:r>
      <w:r w:rsidRPr="00AB218C">
        <w:rPr>
          <w:i/>
          <w:color w:val="000000"/>
          <w:szCs w:val="24"/>
        </w:rPr>
        <w:t>International Research Journal of Finance and Economics</w:t>
      </w:r>
      <w:r w:rsidRPr="00AB218C">
        <w:rPr>
          <w:color w:val="000000"/>
          <w:szCs w:val="24"/>
        </w:rPr>
        <w:t>, Vol. 29</w:t>
      </w:r>
      <w:r w:rsidRPr="00AB218C">
        <w:rPr>
          <w:iCs/>
          <w:color w:val="000000"/>
          <w:szCs w:val="24"/>
        </w:rPr>
        <w:t>, pp.</w:t>
      </w:r>
      <w:r w:rsidRPr="00AB218C">
        <w:rPr>
          <w:color w:val="000000"/>
          <w:szCs w:val="24"/>
        </w:rPr>
        <w:t xml:space="preserve"> 179-187</w:t>
      </w:r>
    </w:p>
    <w:p w:rsidR="00881C7B" w:rsidRPr="00AB218C" w:rsidRDefault="00881C7B" w:rsidP="001213AB">
      <w:pPr>
        <w:spacing w:before="20" w:line="276" w:lineRule="auto"/>
        <w:ind w:left="426" w:hanging="426"/>
        <w:jc w:val="both"/>
        <w:rPr>
          <w:color w:val="000000"/>
          <w:szCs w:val="24"/>
        </w:rPr>
      </w:pPr>
      <w:r w:rsidRPr="00AB218C">
        <w:rPr>
          <w:color w:val="000000"/>
          <w:szCs w:val="24"/>
        </w:rPr>
        <w:t xml:space="preserve">Yeoh, P. (2007) "Corporate Governance Models: Is there a Right One for Transition Economies in Central and Eastern Europe?", </w:t>
      </w:r>
      <w:r w:rsidRPr="00AB218C">
        <w:rPr>
          <w:i/>
          <w:color w:val="000000"/>
          <w:szCs w:val="24"/>
        </w:rPr>
        <w:t>Managerial Law</w:t>
      </w:r>
      <w:r w:rsidRPr="00AB218C">
        <w:rPr>
          <w:color w:val="000000"/>
          <w:szCs w:val="24"/>
        </w:rPr>
        <w:t>, Vol. 4, No. 3</w:t>
      </w:r>
      <w:r w:rsidRPr="00AB218C">
        <w:rPr>
          <w:iCs/>
          <w:color w:val="000000"/>
          <w:szCs w:val="24"/>
        </w:rPr>
        <w:t>, pp.</w:t>
      </w:r>
      <w:r w:rsidRPr="00AB218C">
        <w:rPr>
          <w:color w:val="000000"/>
          <w:szCs w:val="24"/>
        </w:rPr>
        <w:t xml:space="preserve"> 57–75</w:t>
      </w:r>
    </w:p>
    <w:p w:rsidR="00881C7B" w:rsidRPr="00AB218C" w:rsidRDefault="00881C7B" w:rsidP="001213AB">
      <w:pPr>
        <w:spacing w:before="20" w:line="276" w:lineRule="auto"/>
        <w:jc w:val="both"/>
        <w:rPr>
          <w:color w:val="000000"/>
          <w:szCs w:val="24"/>
        </w:rPr>
      </w:pPr>
    </w:p>
    <w:p w:rsidR="00881C7B" w:rsidRPr="00AB218C" w:rsidRDefault="00881C7B" w:rsidP="001213AB">
      <w:pPr>
        <w:spacing w:line="276" w:lineRule="auto"/>
        <w:jc w:val="both"/>
        <w:rPr>
          <w:szCs w:val="24"/>
        </w:rPr>
      </w:pPr>
    </w:p>
    <w:sectPr w:rsidR="00881C7B" w:rsidRPr="00AB218C" w:rsidSect="00D67E87">
      <w:footerReference w:type="default" r:id="rId10"/>
      <w:pgSz w:w="12240" w:h="15840"/>
      <w:pgMar w:top="1135" w:right="1080" w:bottom="1135" w:left="1260"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90E" w:rsidRDefault="0054090E" w:rsidP="00AB218C">
      <w:r>
        <w:separator/>
      </w:r>
    </w:p>
  </w:endnote>
  <w:endnote w:type="continuationSeparator" w:id="0">
    <w:p w:rsidR="0054090E" w:rsidRDefault="0054090E" w:rsidP="00AB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BBJ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dvTTec369687+2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596020"/>
      <w:docPartObj>
        <w:docPartGallery w:val="Page Numbers (Bottom of Page)"/>
        <w:docPartUnique/>
      </w:docPartObj>
    </w:sdtPr>
    <w:sdtEndPr>
      <w:rPr>
        <w:noProof/>
      </w:rPr>
    </w:sdtEndPr>
    <w:sdtContent>
      <w:p w:rsidR="00AB218C" w:rsidRDefault="00AB218C">
        <w:pPr>
          <w:pStyle w:val="Footer"/>
          <w:jc w:val="right"/>
        </w:pPr>
        <w:r>
          <w:fldChar w:fldCharType="begin"/>
        </w:r>
        <w:r>
          <w:instrText xml:space="preserve"> PAGE   \* MERGEFORMAT </w:instrText>
        </w:r>
        <w:r>
          <w:fldChar w:fldCharType="separate"/>
        </w:r>
        <w:r w:rsidR="00D67E87">
          <w:rPr>
            <w:noProof/>
          </w:rPr>
          <w:t>9</w:t>
        </w:r>
        <w:r>
          <w:rPr>
            <w:noProof/>
          </w:rPr>
          <w:fldChar w:fldCharType="end"/>
        </w:r>
      </w:p>
    </w:sdtContent>
  </w:sdt>
  <w:p w:rsidR="00AB218C" w:rsidRDefault="00AB2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90E" w:rsidRDefault="0054090E" w:rsidP="00AB218C">
      <w:r>
        <w:separator/>
      </w:r>
    </w:p>
  </w:footnote>
  <w:footnote w:type="continuationSeparator" w:id="0">
    <w:p w:rsidR="0054090E" w:rsidRDefault="0054090E" w:rsidP="00AB2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74727"/>
    <w:multiLevelType w:val="hybridMultilevel"/>
    <w:tmpl w:val="B5561F4C"/>
    <w:lvl w:ilvl="0" w:tplc="FDD0CF5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8A091D"/>
    <w:multiLevelType w:val="hybridMultilevel"/>
    <w:tmpl w:val="C73CC7B4"/>
    <w:lvl w:ilvl="0" w:tplc="44B09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00434C"/>
    <w:multiLevelType w:val="hybridMultilevel"/>
    <w:tmpl w:val="376446A4"/>
    <w:lvl w:ilvl="0" w:tplc="6B865D0E">
      <w:numFmt w:val="bullet"/>
      <w:lvlText w:val="-"/>
      <w:lvlJc w:val="left"/>
      <w:pPr>
        <w:ind w:left="780" w:hanging="360"/>
      </w:pPr>
      <w:rPr>
        <w:rFonts w:ascii="Times New Roman" w:eastAsia="Times New Roman" w:hAnsi="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EC"/>
    <w:rsid w:val="0000569F"/>
    <w:rsid w:val="0001395B"/>
    <w:rsid w:val="00037E05"/>
    <w:rsid w:val="00082217"/>
    <w:rsid w:val="000A0C55"/>
    <w:rsid w:val="000D4597"/>
    <w:rsid w:val="0010032E"/>
    <w:rsid w:val="001213AB"/>
    <w:rsid w:val="001442CD"/>
    <w:rsid w:val="001B7D21"/>
    <w:rsid w:val="001D4D8A"/>
    <w:rsid w:val="001E458E"/>
    <w:rsid w:val="0023644F"/>
    <w:rsid w:val="0028492C"/>
    <w:rsid w:val="002A0046"/>
    <w:rsid w:val="002C2E9F"/>
    <w:rsid w:val="002F54FB"/>
    <w:rsid w:val="00312372"/>
    <w:rsid w:val="003A1DAE"/>
    <w:rsid w:val="003B2DE4"/>
    <w:rsid w:val="003C1910"/>
    <w:rsid w:val="003D0252"/>
    <w:rsid w:val="00415746"/>
    <w:rsid w:val="00427796"/>
    <w:rsid w:val="0044338F"/>
    <w:rsid w:val="00451552"/>
    <w:rsid w:val="004A29F0"/>
    <w:rsid w:val="004A3757"/>
    <w:rsid w:val="004D397B"/>
    <w:rsid w:val="004E4BCC"/>
    <w:rsid w:val="0050540D"/>
    <w:rsid w:val="0050743B"/>
    <w:rsid w:val="00516264"/>
    <w:rsid w:val="00525DEC"/>
    <w:rsid w:val="00526D8A"/>
    <w:rsid w:val="0054090E"/>
    <w:rsid w:val="00547E1F"/>
    <w:rsid w:val="00584364"/>
    <w:rsid w:val="005A7F5C"/>
    <w:rsid w:val="005F75C8"/>
    <w:rsid w:val="00604E25"/>
    <w:rsid w:val="006304EE"/>
    <w:rsid w:val="006B5F20"/>
    <w:rsid w:val="00725138"/>
    <w:rsid w:val="007808F1"/>
    <w:rsid w:val="00783773"/>
    <w:rsid w:val="00792A87"/>
    <w:rsid w:val="007E2FEC"/>
    <w:rsid w:val="007E3841"/>
    <w:rsid w:val="00800E2C"/>
    <w:rsid w:val="00822DE9"/>
    <w:rsid w:val="00881C7B"/>
    <w:rsid w:val="009301E0"/>
    <w:rsid w:val="00981F15"/>
    <w:rsid w:val="0099037B"/>
    <w:rsid w:val="009B07DE"/>
    <w:rsid w:val="009E3554"/>
    <w:rsid w:val="00A21BF2"/>
    <w:rsid w:val="00A328BE"/>
    <w:rsid w:val="00A472A0"/>
    <w:rsid w:val="00A63BAC"/>
    <w:rsid w:val="00AA43BF"/>
    <w:rsid w:val="00AB218C"/>
    <w:rsid w:val="00AC6B6D"/>
    <w:rsid w:val="00B026BD"/>
    <w:rsid w:val="00B16A42"/>
    <w:rsid w:val="00B21A06"/>
    <w:rsid w:val="00B22D4A"/>
    <w:rsid w:val="00BC153A"/>
    <w:rsid w:val="00BE52A3"/>
    <w:rsid w:val="00C649D6"/>
    <w:rsid w:val="00C71F7E"/>
    <w:rsid w:val="00CC12D7"/>
    <w:rsid w:val="00CD2FB2"/>
    <w:rsid w:val="00CF0BB7"/>
    <w:rsid w:val="00D67E87"/>
    <w:rsid w:val="00D958FC"/>
    <w:rsid w:val="00DF15FD"/>
    <w:rsid w:val="00E446B5"/>
    <w:rsid w:val="00E81E06"/>
    <w:rsid w:val="00F06282"/>
    <w:rsid w:val="00F63E29"/>
    <w:rsid w:val="00FB15F5"/>
    <w:rsid w:val="00FB76C6"/>
    <w:rsid w:val="00FD070D"/>
    <w:rsid w:val="00FE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7C0D0-E65C-4CA6-BFD3-EE3B68C7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A63BAC"/>
    <w:pPr>
      <w:outlineLvl w:val="0"/>
    </w:pPr>
    <w:rPr>
      <w:rFonts w:cs="Times New Roman"/>
      <w:color w:val="auto"/>
    </w:rPr>
  </w:style>
  <w:style w:type="paragraph" w:styleId="Heading2">
    <w:name w:val="heading 2"/>
    <w:basedOn w:val="Normal"/>
    <w:next w:val="Normal"/>
    <w:link w:val="Heading2Char"/>
    <w:uiPriority w:val="9"/>
    <w:semiHidden/>
    <w:unhideWhenUsed/>
    <w:qFormat/>
    <w:rsid w:val="00792A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7E"/>
    <w:pPr>
      <w:ind w:left="720"/>
      <w:contextualSpacing/>
    </w:pPr>
  </w:style>
  <w:style w:type="table" w:styleId="TableGrid">
    <w:name w:val="Table Grid"/>
    <w:basedOn w:val="TableNormal"/>
    <w:uiPriority w:val="59"/>
    <w:rsid w:val="00DF1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28BE"/>
    <w:rPr>
      <w:rFonts w:ascii="Tahoma" w:hAnsi="Tahoma" w:cs="Tahoma"/>
      <w:sz w:val="16"/>
      <w:szCs w:val="16"/>
    </w:rPr>
  </w:style>
  <w:style w:type="character" w:customStyle="1" w:styleId="BalloonTextChar">
    <w:name w:val="Balloon Text Char"/>
    <w:basedOn w:val="DefaultParagraphFont"/>
    <w:link w:val="BalloonText"/>
    <w:uiPriority w:val="99"/>
    <w:semiHidden/>
    <w:rsid w:val="00A328BE"/>
    <w:rPr>
      <w:rFonts w:ascii="Tahoma" w:hAnsi="Tahoma" w:cs="Tahoma"/>
      <w:sz w:val="16"/>
      <w:szCs w:val="16"/>
    </w:rPr>
  </w:style>
  <w:style w:type="character" w:customStyle="1" w:styleId="Heading1Char">
    <w:name w:val="Heading 1 Char"/>
    <w:basedOn w:val="DefaultParagraphFont"/>
    <w:link w:val="Heading1"/>
    <w:uiPriority w:val="99"/>
    <w:rsid w:val="00A63BAC"/>
    <w:rPr>
      <w:rFonts w:ascii="GEBBJH+TimesNewRoman" w:hAnsi="GEBBJH+TimesNewRoman"/>
      <w:szCs w:val="24"/>
    </w:rPr>
  </w:style>
  <w:style w:type="paragraph" w:customStyle="1" w:styleId="Default">
    <w:name w:val="Default"/>
    <w:rsid w:val="00A63BAC"/>
    <w:pPr>
      <w:autoSpaceDE w:val="0"/>
      <w:autoSpaceDN w:val="0"/>
      <w:adjustRightInd w:val="0"/>
    </w:pPr>
    <w:rPr>
      <w:rFonts w:ascii="GEBBJH+TimesNewRoman" w:hAnsi="GEBBJH+TimesNewRoman" w:cs="GEBBJH+TimesNewRoman"/>
      <w:color w:val="000000"/>
      <w:szCs w:val="24"/>
    </w:rPr>
  </w:style>
  <w:style w:type="character" w:customStyle="1" w:styleId="Heading2Char">
    <w:name w:val="Heading 2 Char"/>
    <w:basedOn w:val="DefaultParagraphFont"/>
    <w:link w:val="Heading2"/>
    <w:uiPriority w:val="9"/>
    <w:semiHidden/>
    <w:rsid w:val="00792A87"/>
    <w:rPr>
      <w:rFonts w:asciiTheme="majorHAnsi" w:eastAsiaTheme="majorEastAsia" w:hAnsiTheme="majorHAnsi" w:cstheme="majorBidi"/>
      <w:b/>
      <w:bCs/>
      <w:color w:val="4F81BD" w:themeColor="accent1"/>
      <w:sz w:val="26"/>
      <w:szCs w:val="26"/>
    </w:rPr>
  </w:style>
  <w:style w:type="character" w:customStyle="1" w:styleId="searchtermshighlighted">
    <w:name w:val="searchtermshighlighted"/>
    <w:basedOn w:val="DefaultParagraphFont"/>
    <w:rsid w:val="00792A87"/>
  </w:style>
  <w:style w:type="paragraph" w:styleId="NormalWeb">
    <w:name w:val="Normal (Web)"/>
    <w:basedOn w:val="Normal"/>
    <w:uiPriority w:val="99"/>
    <w:semiHidden/>
    <w:unhideWhenUsed/>
    <w:rsid w:val="00792A87"/>
    <w:pPr>
      <w:spacing w:before="100" w:beforeAutospacing="1" w:after="100" w:afterAutospacing="1"/>
    </w:pPr>
    <w:rPr>
      <w:rFonts w:eastAsia="Times New Roman"/>
      <w:szCs w:val="24"/>
    </w:rPr>
  </w:style>
  <w:style w:type="paragraph" w:customStyle="1" w:styleId="note">
    <w:name w:val="note"/>
    <w:basedOn w:val="Normal"/>
    <w:rsid w:val="00792A87"/>
    <w:pPr>
      <w:spacing w:before="100" w:beforeAutospacing="1" w:after="100" w:afterAutospacing="1"/>
    </w:pPr>
    <w:rPr>
      <w:rFonts w:eastAsia="Times New Roman"/>
      <w:szCs w:val="24"/>
    </w:rPr>
  </w:style>
  <w:style w:type="character" w:styleId="Hyperlink">
    <w:name w:val="Hyperlink"/>
    <w:basedOn w:val="DefaultParagraphFont"/>
    <w:uiPriority w:val="99"/>
    <w:semiHidden/>
    <w:unhideWhenUsed/>
    <w:rsid w:val="00792A87"/>
    <w:rPr>
      <w:color w:val="0000FF"/>
      <w:u w:val="single"/>
    </w:rPr>
  </w:style>
  <w:style w:type="character" w:customStyle="1" w:styleId="highlight">
    <w:name w:val="highlight"/>
    <w:rsid w:val="00881C7B"/>
  </w:style>
  <w:style w:type="character" w:customStyle="1" w:styleId="cit-auth">
    <w:name w:val="cit-auth"/>
    <w:rsid w:val="00881C7B"/>
  </w:style>
  <w:style w:type="character" w:customStyle="1" w:styleId="site-title">
    <w:name w:val="site-title"/>
    <w:rsid w:val="00881C7B"/>
  </w:style>
  <w:style w:type="character" w:customStyle="1" w:styleId="cit-print-date">
    <w:name w:val="cit-print-date"/>
    <w:rsid w:val="00881C7B"/>
  </w:style>
  <w:style w:type="character" w:customStyle="1" w:styleId="cit-vol">
    <w:name w:val="cit-vol"/>
    <w:rsid w:val="00881C7B"/>
  </w:style>
  <w:style w:type="character" w:customStyle="1" w:styleId="cit-sep">
    <w:name w:val="cit-sep"/>
    <w:rsid w:val="00881C7B"/>
  </w:style>
  <w:style w:type="character" w:customStyle="1" w:styleId="cit-first-page">
    <w:name w:val="cit-first-page"/>
    <w:rsid w:val="00881C7B"/>
  </w:style>
  <w:style w:type="character" w:customStyle="1" w:styleId="cit-last-page">
    <w:name w:val="cit-last-page"/>
    <w:rsid w:val="00881C7B"/>
  </w:style>
  <w:style w:type="paragraph" w:styleId="Header">
    <w:name w:val="header"/>
    <w:basedOn w:val="Normal"/>
    <w:link w:val="HeaderChar"/>
    <w:uiPriority w:val="99"/>
    <w:unhideWhenUsed/>
    <w:rsid w:val="00AB218C"/>
    <w:pPr>
      <w:tabs>
        <w:tab w:val="center" w:pos="4680"/>
        <w:tab w:val="right" w:pos="9360"/>
      </w:tabs>
    </w:pPr>
  </w:style>
  <w:style w:type="character" w:customStyle="1" w:styleId="HeaderChar">
    <w:name w:val="Header Char"/>
    <w:basedOn w:val="DefaultParagraphFont"/>
    <w:link w:val="Header"/>
    <w:uiPriority w:val="99"/>
    <w:rsid w:val="00AB218C"/>
  </w:style>
  <w:style w:type="paragraph" w:styleId="Footer">
    <w:name w:val="footer"/>
    <w:basedOn w:val="Normal"/>
    <w:link w:val="FooterChar"/>
    <w:uiPriority w:val="99"/>
    <w:unhideWhenUsed/>
    <w:rsid w:val="00AB218C"/>
    <w:pPr>
      <w:tabs>
        <w:tab w:val="center" w:pos="4680"/>
        <w:tab w:val="right" w:pos="9360"/>
      </w:tabs>
    </w:pPr>
  </w:style>
  <w:style w:type="character" w:customStyle="1" w:styleId="FooterChar">
    <w:name w:val="Footer Char"/>
    <w:basedOn w:val="DefaultParagraphFont"/>
    <w:link w:val="Footer"/>
    <w:uiPriority w:val="99"/>
    <w:rsid w:val="00AB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09111">
      <w:bodyDiv w:val="1"/>
      <w:marLeft w:val="0"/>
      <w:marRight w:val="0"/>
      <w:marTop w:val="0"/>
      <w:marBottom w:val="0"/>
      <w:divBdr>
        <w:top w:val="none" w:sz="0" w:space="0" w:color="auto"/>
        <w:left w:val="none" w:sz="0" w:space="0" w:color="auto"/>
        <w:bottom w:val="none" w:sz="0" w:space="0" w:color="auto"/>
        <w:right w:val="none" w:sz="0" w:space="0" w:color="auto"/>
      </w:divBdr>
    </w:div>
    <w:div w:id="2029018617">
      <w:bodyDiv w:val="1"/>
      <w:marLeft w:val="0"/>
      <w:marRight w:val="0"/>
      <w:marTop w:val="0"/>
      <w:marBottom w:val="0"/>
      <w:divBdr>
        <w:top w:val="none" w:sz="0" w:space="0" w:color="auto"/>
        <w:left w:val="none" w:sz="0" w:space="0" w:color="auto"/>
        <w:bottom w:val="none" w:sz="0" w:space="0" w:color="auto"/>
        <w:right w:val="none" w:sz="0" w:space="0" w:color="auto"/>
      </w:divBdr>
      <w:divsChild>
        <w:div w:id="1206678658">
          <w:marLeft w:val="0"/>
          <w:marRight w:val="0"/>
          <w:marTop w:val="0"/>
          <w:marBottom w:val="0"/>
          <w:divBdr>
            <w:top w:val="none" w:sz="0" w:space="0" w:color="auto"/>
            <w:left w:val="none" w:sz="0" w:space="0" w:color="auto"/>
            <w:bottom w:val="none" w:sz="0" w:space="0" w:color="auto"/>
            <w:right w:val="none" w:sz="0" w:space="0" w:color="auto"/>
          </w:divBdr>
        </w:div>
        <w:div w:id="99098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ndfonline.com/doi/abs/10.1080/00128775.2001.1104100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8\Documents\Trud-MANU%202018\&#1044;&#1080;&#1074;&#1080;&#1076;&#1077;&#1085;&#1076;&#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Sheet1!$B$18</c:f>
              <c:strCache>
                <c:ptCount val="1"/>
                <c:pt idx="0">
                  <c:v>Комерцијална банка</c:v>
                </c:pt>
              </c:strCache>
            </c:strRef>
          </c:tx>
          <c:spPr>
            <a:ln>
              <a:prstDash val="lgDashDotDot"/>
            </a:ln>
          </c:spPr>
          <c:marker>
            <c:symbol val="none"/>
          </c:marker>
          <c:cat>
            <c:numRef>
              <c:f>Sheet1!$C$17:$N$17</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Sheet1!$C$18:$N$18</c:f>
              <c:numCache>
                <c:formatCode>#,000</c:formatCode>
                <c:ptCount val="12"/>
                <c:pt idx="0" formatCode="General">
                  <c:v>100</c:v>
                </c:pt>
                <c:pt idx="1">
                  <c:v>115.15151515151516</c:v>
                </c:pt>
                <c:pt idx="2">
                  <c:v>115.15151515151516</c:v>
                </c:pt>
                <c:pt idx="3">
                  <c:v>103.03030303030303</c:v>
                </c:pt>
                <c:pt idx="4">
                  <c:v>121.21212121212122</c:v>
                </c:pt>
                <c:pt idx="5">
                  <c:v>121.21212121212122</c:v>
                </c:pt>
                <c:pt idx="6">
                  <c:v>60.606060606060609</c:v>
                </c:pt>
                <c:pt idx="7">
                  <c:v>0</c:v>
                </c:pt>
                <c:pt idx="8">
                  <c:v>0</c:v>
                </c:pt>
                <c:pt idx="9">
                  <c:v>75.757575757575751</c:v>
                </c:pt>
                <c:pt idx="10">
                  <c:v>90.909090909090907</c:v>
                </c:pt>
                <c:pt idx="11">
                  <c:v>109.09090909090908</c:v>
                </c:pt>
              </c:numCache>
            </c:numRef>
          </c:val>
          <c:smooth val="0"/>
        </c:ser>
        <c:ser>
          <c:idx val="1"/>
          <c:order val="1"/>
          <c:tx>
            <c:strRef>
              <c:f>Sheet1!$B$19</c:f>
              <c:strCache>
                <c:ptCount val="1"/>
                <c:pt idx="0">
                  <c:v>Топлификација</c:v>
                </c:pt>
              </c:strCache>
            </c:strRef>
          </c:tx>
          <c:spPr>
            <a:ln>
              <a:prstDash val="sysDash"/>
            </a:ln>
          </c:spPr>
          <c:marker>
            <c:symbol val="none"/>
          </c:marker>
          <c:cat>
            <c:numRef>
              <c:f>Sheet1!$C$17:$N$17</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Sheet1!$C$19:$N$19</c:f>
              <c:numCache>
                <c:formatCode>#,000</c:formatCode>
                <c:ptCount val="12"/>
                <c:pt idx="0" formatCode="General">
                  <c:v>100</c:v>
                </c:pt>
                <c:pt idx="1">
                  <c:v>389.22413793103448</c:v>
                </c:pt>
                <c:pt idx="2">
                  <c:v>0</c:v>
                </c:pt>
                <c:pt idx="3">
                  <c:v>43.103448275862071</c:v>
                </c:pt>
                <c:pt idx="4">
                  <c:v>57.471264367816097</c:v>
                </c:pt>
                <c:pt idx="5">
                  <c:v>0</c:v>
                </c:pt>
                <c:pt idx="6">
                  <c:v>77.58620689655173</c:v>
                </c:pt>
                <c:pt idx="7">
                  <c:v>0</c:v>
                </c:pt>
                <c:pt idx="8">
                  <c:v>0</c:v>
                </c:pt>
                <c:pt idx="9">
                  <c:v>0</c:v>
                </c:pt>
                <c:pt idx="10">
                  <c:v>0</c:v>
                </c:pt>
                <c:pt idx="11">
                  <c:v>0</c:v>
                </c:pt>
              </c:numCache>
            </c:numRef>
          </c:val>
          <c:smooth val="0"/>
        </c:ser>
        <c:ser>
          <c:idx val="2"/>
          <c:order val="2"/>
          <c:tx>
            <c:strRef>
              <c:f>Sheet1!$B$20</c:f>
              <c:strCache>
                <c:ptCount val="1"/>
                <c:pt idx="0">
                  <c:v>Алкалоид</c:v>
                </c:pt>
              </c:strCache>
            </c:strRef>
          </c:tx>
          <c:marker>
            <c:symbol val="none"/>
          </c:marker>
          <c:cat>
            <c:numRef>
              <c:f>Sheet1!$C$17:$N$17</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Sheet1!$C$20:$N$20</c:f>
              <c:numCache>
                <c:formatCode>#,000</c:formatCode>
                <c:ptCount val="12"/>
                <c:pt idx="0" formatCode="General">
                  <c:v>100</c:v>
                </c:pt>
                <c:pt idx="1">
                  <c:v>124.22360248447204</c:v>
                </c:pt>
                <c:pt idx="2">
                  <c:v>152.79503105590061</c:v>
                </c:pt>
                <c:pt idx="3">
                  <c:v>168.94409937888199</c:v>
                </c:pt>
                <c:pt idx="4">
                  <c:v>186.33540372670808</c:v>
                </c:pt>
                <c:pt idx="5">
                  <c:v>198.75776397515529</c:v>
                </c:pt>
                <c:pt idx="6">
                  <c:v>204.96894409937889</c:v>
                </c:pt>
                <c:pt idx="7">
                  <c:v>223.60248447204967</c:v>
                </c:pt>
                <c:pt idx="8">
                  <c:v>234.78260869565219</c:v>
                </c:pt>
                <c:pt idx="9">
                  <c:v>257.14285714285717</c:v>
                </c:pt>
                <c:pt idx="10">
                  <c:v>279.50310559006215</c:v>
                </c:pt>
                <c:pt idx="11">
                  <c:v>301.86335403726707</c:v>
                </c:pt>
              </c:numCache>
            </c:numRef>
          </c:val>
          <c:smooth val="0"/>
        </c:ser>
        <c:ser>
          <c:idx val="3"/>
          <c:order val="3"/>
          <c:tx>
            <c:strRef>
              <c:f>Sheet1!$B$21</c:f>
              <c:strCache>
                <c:ptCount val="1"/>
                <c:pt idx="0">
                  <c:v>Македонија турист</c:v>
                </c:pt>
              </c:strCache>
            </c:strRef>
          </c:tx>
          <c:spPr>
            <a:ln>
              <a:prstDash val="dash"/>
            </a:ln>
          </c:spPr>
          <c:marker>
            <c:symbol val="none"/>
          </c:marker>
          <c:cat>
            <c:numRef>
              <c:f>Sheet1!$C$17:$N$17</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Sheet1!$C$21:$N$21</c:f>
              <c:numCache>
                <c:formatCode>#,000</c:formatCode>
                <c:ptCount val="12"/>
                <c:pt idx="0" formatCode="General">
                  <c:v>100</c:v>
                </c:pt>
                <c:pt idx="1">
                  <c:v>112.93103448275863</c:v>
                </c:pt>
                <c:pt idx="2">
                  <c:v>136.20689655172413</c:v>
                </c:pt>
                <c:pt idx="3">
                  <c:v>150.86206896551724</c:v>
                </c:pt>
                <c:pt idx="4">
                  <c:v>151.72413793103448</c:v>
                </c:pt>
                <c:pt idx="5">
                  <c:v>155.17241379310346</c:v>
                </c:pt>
                <c:pt idx="6">
                  <c:v>169.13793103448276</c:v>
                </c:pt>
                <c:pt idx="7">
                  <c:v>160.60344827586209</c:v>
                </c:pt>
                <c:pt idx="8">
                  <c:v>144.13793103448276</c:v>
                </c:pt>
                <c:pt idx="9">
                  <c:v>160.51724137931035</c:v>
                </c:pt>
                <c:pt idx="10">
                  <c:v>144.31034482758619</c:v>
                </c:pt>
                <c:pt idx="11">
                  <c:v>161.20689655172413</c:v>
                </c:pt>
              </c:numCache>
            </c:numRef>
          </c:val>
          <c:smooth val="0"/>
        </c:ser>
        <c:ser>
          <c:idx val="4"/>
          <c:order val="4"/>
          <c:tx>
            <c:strRef>
              <c:f>Sheet1!$B$22</c:f>
              <c:strCache>
                <c:ptCount val="1"/>
                <c:pt idx="0">
                  <c:v>Реплек</c:v>
                </c:pt>
              </c:strCache>
            </c:strRef>
          </c:tx>
          <c:spPr>
            <a:ln>
              <a:prstDash val="lgDash"/>
            </a:ln>
          </c:spPr>
          <c:marker>
            <c:symbol val="none"/>
          </c:marker>
          <c:cat>
            <c:numRef>
              <c:f>Sheet1!$C$17:$N$17</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Sheet1!$C$22:$N$22</c:f>
              <c:numCache>
                <c:formatCode>#,000</c:formatCode>
                <c:ptCount val="12"/>
                <c:pt idx="0" formatCode="General">
                  <c:v>100</c:v>
                </c:pt>
                <c:pt idx="1">
                  <c:v>100</c:v>
                </c:pt>
                <c:pt idx="2">
                  <c:v>167.10753306497986</c:v>
                </c:pt>
                <c:pt idx="3">
                  <c:v>88.412880966072464</c:v>
                </c:pt>
                <c:pt idx="4">
                  <c:v>88.412880966072464</c:v>
                </c:pt>
                <c:pt idx="5">
                  <c:v>97.239792984473837</c:v>
                </c:pt>
                <c:pt idx="6">
                  <c:v>103.4502587694077</c:v>
                </c:pt>
                <c:pt idx="7">
                  <c:v>103.4502587694077</c:v>
                </c:pt>
                <c:pt idx="8">
                  <c:v>87.579068430132253</c:v>
                </c:pt>
                <c:pt idx="9">
                  <c:v>63.858539390454283</c:v>
                </c:pt>
                <c:pt idx="10">
                  <c:v>79.55721679125935</c:v>
                </c:pt>
                <c:pt idx="11">
                  <c:v>115.00862564692352</c:v>
                </c:pt>
              </c:numCache>
            </c:numRef>
          </c:val>
          <c:smooth val="0"/>
        </c:ser>
        <c:ser>
          <c:idx val="5"/>
          <c:order val="5"/>
          <c:tx>
            <c:strRef>
              <c:f>Sheet1!$B$23</c:f>
              <c:strCache>
                <c:ptCount val="1"/>
                <c:pt idx="0">
                  <c:v>Гранит</c:v>
                </c:pt>
              </c:strCache>
            </c:strRef>
          </c:tx>
          <c:spPr>
            <a:ln cmpd="dbl"/>
          </c:spPr>
          <c:marker>
            <c:symbol val="none"/>
          </c:marker>
          <c:cat>
            <c:numRef>
              <c:f>Sheet1!$C$17:$N$17</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Sheet1!$C$23:$N$23</c:f>
              <c:numCache>
                <c:formatCode>#,000</c:formatCode>
                <c:ptCount val="12"/>
                <c:pt idx="0" formatCode="General">
                  <c:v>100</c:v>
                </c:pt>
                <c:pt idx="1">
                  <c:v>100.97560975609755</c:v>
                </c:pt>
                <c:pt idx="2">
                  <c:v>100.97560975609755</c:v>
                </c:pt>
                <c:pt idx="3">
                  <c:v>87.804878048780495</c:v>
                </c:pt>
                <c:pt idx="4">
                  <c:v>43.902439024390247</c:v>
                </c:pt>
                <c:pt idx="5">
                  <c:v>65.853658536585371</c:v>
                </c:pt>
                <c:pt idx="6">
                  <c:v>52.682926829268297</c:v>
                </c:pt>
                <c:pt idx="7">
                  <c:v>70.243902439024396</c:v>
                </c:pt>
                <c:pt idx="8">
                  <c:v>70.243902439024396</c:v>
                </c:pt>
                <c:pt idx="9">
                  <c:v>97.560975609756099</c:v>
                </c:pt>
                <c:pt idx="10">
                  <c:v>122.92682926829268</c:v>
                </c:pt>
                <c:pt idx="11">
                  <c:v>122.92682926829268</c:v>
                </c:pt>
              </c:numCache>
            </c:numRef>
          </c:val>
          <c:smooth val="0"/>
        </c:ser>
        <c:ser>
          <c:idx val="6"/>
          <c:order val="6"/>
          <c:tx>
            <c:strRef>
              <c:f>Sheet1!$B$24</c:f>
              <c:strCache>
                <c:ptCount val="1"/>
                <c:pt idx="0">
                  <c:v>Македонски телеком</c:v>
                </c:pt>
              </c:strCache>
            </c:strRef>
          </c:tx>
          <c:spPr>
            <a:ln>
              <a:prstDash val="sysDot"/>
            </a:ln>
          </c:spPr>
          <c:marker>
            <c:symbol val="none"/>
          </c:marker>
          <c:cat>
            <c:numRef>
              <c:f>Sheet1!$C$17:$N$17</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Sheet1!$C$24:$N$24</c:f>
              <c:numCache>
                <c:formatCode>#,000</c:formatCode>
                <c:ptCount val="12"/>
                <c:pt idx="0" formatCode="General">
                  <c:v>100</c:v>
                </c:pt>
                <c:pt idx="1">
                  <c:v>131.75893663698542</c:v>
                </c:pt>
                <c:pt idx="2">
                  <c:v>82.952639050200034</c:v>
                </c:pt>
                <c:pt idx="3">
                  <c:v>87.22415795586528</c:v>
                </c:pt>
                <c:pt idx="4">
                  <c:v>80.087753258484966</c:v>
                </c:pt>
                <c:pt idx="5">
                  <c:v>82.991353723061039</c:v>
                </c:pt>
                <c:pt idx="6">
                  <c:v>76.138856626661507</c:v>
                </c:pt>
                <c:pt idx="7">
                  <c:v>36.520841398890184</c:v>
                </c:pt>
                <c:pt idx="8">
                  <c:v>47.102851980900759</c:v>
                </c:pt>
                <c:pt idx="9">
                  <c:v>19.860627177700351</c:v>
                </c:pt>
                <c:pt idx="10">
                  <c:v>16.840882694541236</c:v>
                </c:pt>
                <c:pt idx="11">
                  <c:v>21.293070073557878</c:v>
                </c:pt>
              </c:numCache>
            </c:numRef>
          </c:val>
          <c:smooth val="0"/>
        </c:ser>
        <c:ser>
          <c:idx val="7"/>
          <c:order val="7"/>
          <c:tx>
            <c:strRef>
              <c:f>Sheet1!$B$25</c:f>
              <c:strCache>
                <c:ptCount val="1"/>
                <c:pt idx="0">
                  <c:v>Макпетрол</c:v>
                </c:pt>
              </c:strCache>
            </c:strRef>
          </c:tx>
          <c:marker>
            <c:symbol val="none"/>
          </c:marker>
          <c:cat>
            <c:numRef>
              <c:f>Sheet1!$C$17:$N$17</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Sheet1!$C$25:$N$25</c:f>
              <c:numCache>
                <c:formatCode>#,000</c:formatCode>
                <c:ptCount val="12"/>
                <c:pt idx="0" formatCode="General">
                  <c:v>100</c:v>
                </c:pt>
                <c:pt idx="1">
                  <c:v>158.73015873015873</c:v>
                </c:pt>
                <c:pt idx="2">
                  <c:v>158.73015873015873</c:v>
                </c:pt>
                <c:pt idx="3">
                  <c:v>158.73015873015873</c:v>
                </c:pt>
                <c:pt idx="4">
                  <c:v>0</c:v>
                </c:pt>
                <c:pt idx="5">
                  <c:v>0</c:v>
                </c:pt>
                <c:pt idx="6">
                  <c:v>0</c:v>
                </c:pt>
                <c:pt idx="7">
                  <c:v>0</c:v>
                </c:pt>
                <c:pt idx="8">
                  <c:v>0</c:v>
                </c:pt>
                <c:pt idx="9">
                  <c:v>0</c:v>
                </c:pt>
                <c:pt idx="10">
                  <c:v>158.73015873015873</c:v>
                </c:pt>
                <c:pt idx="11">
                  <c:v>158.73015873015873</c:v>
                </c:pt>
              </c:numCache>
            </c:numRef>
          </c:val>
          <c:smooth val="0"/>
        </c:ser>
        <c:dLbls>
          <c:showLegendKey val="0"/>
          <c:showVal val="0"/>
          <c:showCatName val="0"/>
          <c:showSerName val="0"/>
          <c:showPercent val="0"/>
          <c:showBubbleSize val="0"/>
        </c:dLbls>
        <c:smooth val="0"/>
        <c:axId val="-997772832"/>
        <c:axId val="-997779360"/>
      </c:lineChart>
      <c:catAx>
        <c:axId val="-997772832"/>
        <c:scaling>
          <c:orientation val="minMax"/>
        </c:scaling>
        <c:delete val="0"/>
        <c:axPos val="b"/>
        <c:numFmt formatCode="General" sourceLinked="1"/>
        <c:majorTickMark val="out"/>
        <c:minorTickMark val="none"/>
        <c:tickLblPos val="nextTo"/>
        <c:crossAx val="-997779360"/>
        <c:crosses val="autoZero"/>
        <c:auto val="1"/>
        <c:lblAlgn val="ctr"/>
        <c:lblOffset val="100"/>
        <c:noMultiLvlLbl val="0"/>
      </c:catAx>
      <c:valAx>
        <c:axId val="-997779360"/>
        <c:scaling>
          <c:orientation val="minMax"/>
        </c:scaling>
        <c:delete val="0"/>
        <c:axPos val="l"/>
        <c:majorGridlines/>
        <c:numFmt formatCode="General" sourceLinked="1"/>
        <c:majorTickMark val="out"/>
        <c:minorTickMark val="none"/>
        <c:tickLblPos val="nextTo"/>
        <c:crossAx val="-997772832"/>
        <c:crosses val="autoZero"/>
        <c:crossBetween val="between"/>
      </c:valAx>
    </c:plotArea>
    <c:legend>
      <c:legendPos val="r"/>
      <c:layout>
        <c:manualLayout>
          <c:xMode val="edge"/>
          <c:yMode val="edge"/>
          <c:x val="0.79631556367385048"/>
          <c:y val="8.1030183727034119E-2"/>
          <c:w val="0.18701772589008453"/>
          <c:h val="0.8888655584718576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A2D4-A172-4CBA-875A-4D42F620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5713</Words>
  <Characters>32570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User</cp:lastModifiedBy>
  <cp:revision>3</cp:revision>
  <cp:lastPrinted>2018-10-30T09:52:00Z</cp:lastPrinted>
  <dcterms:created xsi:type="dcterms:W3CDTF">2018-10-30T09:46:00Z</dcterms:created>
  <dcterms:modified xsi:type="dcterms:W3CDTF">2018-10-30T09:53:00Z</dcterms:modified>
</cp:coreProperties>
</file>