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B1" w:rsidRPr="006B209A" w:rsidRDefault="006B209A" w:rsidP="006B209A">
      <w:pPr>
        <w:jc w:val="center"/>
        <w:rPr>
          <w:rFonts w:ascii="Times New Roman" w:hAnsi="Times New Roman" w:cs="Times New Roman"/>
          <w:b/>
          <w:sz w:val="24"/>
          <w:szCs w:val="24"/>
        </w:rPr>
      </w:pPr>
      <w:r w:rsidRPr="006B209A">
        <w:rPr>
          <w:rFonts w:ascii="Times New Roman" w:hAnsi="Times New Roman" w:cs="Times New Roman"/>
          <w:b/>
          <w:sz w:val="24"/>
          <w:szCs w:val="24"/>
        </w:rPr>
        <w:t>Улогата на регулаторните институции во развојот на функционалната пазарна економија во Република Северна Македонија</w:t>
      </w:r>
    </w:p>
    <w:p w:rsidR="006B209A" w:rsidRDefault="006B209A" w:rsidP="005E35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 </w:t>
      </w:r>
      <w:r w:rsidR="0037039B">
        <w:rPr>
          <w:rFonts w:ascii="Times New Roman" w:hAnsi="Times New Roman" w:cs="Times New Roman"/>
          <w:sz w:val="24"/>
          <w:szCs w:val="24"/>
        </w:rPr>
        <w:t xml:space="preserve">д-р </w:t>
      </w:r>
      <w:r>
        <w:rPr>
          <w:rFonts w:ascii="Times New Roman" w:hAnsi="Times New Roman" w:cs="Times New Roman"/>
          <w:sz w:val="24"/>
          <w:szCs w:val="24"/>
        </w:rPr>
        <w:t>Даниела Бојаџиева</w:t>
      </w:r>
    </w:p>
    <w:p w:rsidR="005E35F3" w:rsidRDefault="005E35F3" w:rsidP="005E35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Универзитет „Св. Кирил и Методија“ во Скопје</w:t>
      </w:r>
    </w:p>
    <w:p w:rsidR="005E35F3" w:rsidRDefault="005E35F3" w:rsidP="005E35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Економски факултет - Скопје</w:t>
      </w:r>
    </w:p>
    <w:p w:rsidR="00601B7E" w:rsidRDefault="00601B7E" w:rsidP="006B209A">
      <w:pPr>
        <w:jc w:val="both"/>
        <w:rPr>
          <w:rFonts w:ascii="Times New Roman" w:hAnsi="Times New Roman" w:cs="Times New Roman"/>
          <w:b/>
          <w:sz w:val="24"/>
          <w:szCs w:val="24"/>
        </w:rPr>
      </w:pPr>
    </w:p>
    <w:p w:rsidR="0037039B" w:rsidRDefault="0037039B" w:rsidP="005D1186">
      <w:pPr>
        <w:jc w:val="both"/>
        <w:rPr>
          <w:rFonts w:ascii="Times New Roman" w:hAnsi="Times New Roman" w:cs="Times New Roman"/>
          <w:b/>
          <w:sz w:val="24"/>
          <w:szCs w:val="24"/>
        </w:rPr>
      </w:pPr>
      <w:r w:rsidRPr="0037039B">
        <w:rPr>
          <w:rFonts w:ascii="Times New Roman" w:hAnsi="Times New Roman" w:cs="Times New Roman"/>
          <w:b/>
          <w:sz w:val="24"/>
          <w:szCs w:val="24"/>
        </w:rPr>
        <w:t>Вовед</w:t>
      </w:r>
    </w:p>
    <w:p w:rsidR="00EC6A90" w:rsidRDefault="00004BB0" w:rsidP="005D1186">
      <w:pPr>
        <w:jc w:val="both"/>
        <w:rPr>
          <w:rFonts w:ascii="Times New Roman" w:hAnsi="Times New Roman" w:cs="Times New Roman"/>
          <w:sz w:val="24"/>
          <w:szCs w:val="24"/>
        </w:rPr>
      </w:pPr>
      <w:r>
        <w:rPr>
          <w:rFonts w:ascii="Times New Roman" w:hAnsi="Times New Roman" w:cs="Times New Roman"/>
          <w:sz w:val="24"/>
          <w:szCs w:val="24"/>
        </w:rPr>
        <w:t>Развојот на регулаторната институционална рамка во земјата ја претставува последната карика во процесот на трансформација на општествено-економскиот систем и изградбата на паз</w:t>
      </w:r>
      <w:bookmarkStart w:id="0" w:name="_GoBack"/>
      <w:bookmarkEnd w:id="0"/>
      <w:r>
        <w:rPr>
          <w:rFonts w:ascii="Times New Roman" w:hAnsi="Times New Roman" w:cs="Times New Roman"/>
          <w:sz w:val="24"/>
          <w:szCs w:val="24"/>
        </w:rPr>
        <w:t xml:space="preserve">арната економија. Во првите години од транзицијата на општествено-економскиот систем во фокусот на реформите беше спроведувањето на приватизацијата и трансформацијата на јавната (државната) сопственост во приватна како </w:t>
      </w:r>
      <w:r w:rsidR="006F0920">
        <w:rPr>
          <w:rFonts w:ascii="Times New Roman" w:hAnsi="Times New Roman" w:cs="Times New Roman"/>
          <w:sz w:val="24"/>
          <w:szCs w:val="24"/>
        </w:rPr>
        <w:t xml:space="preserve">и </w:t>
      </w:r>
      <w:r>
        <w:rPr>
          <w:rFonts w:ascii="Times New Roman" w:hAnsi="Times New Roman" w:cs="Times New Roman"/>
          <w:sz w:val="24"/>
          <w:szCs w:val="24"/>
        </w:rPr>
        <w:t>либерализацијата на трговијата. Се чинеше дека пазарот, преку ослободувањето од државата, либерализацијата на надворешната трговија ќе се создадат услови за слободно функционирање на пазарниот механизам, зголемената конкуренција ќе продуцира поквалитетна понуда на стоки и услуги, по економски прифатливи цени, понудени од страна на ефикасни и продуктивни фирми. Институционалниот развој на соодветни регулаторни тела беше речиси занемарен.</w:t>
      </w:r>
    </w:p>
    <w:p w:rsidR="00EC6A90" w:rsidRDefault="00EC6A90" w:rsidP="005D1186">
      <w:pPr>
        <w:jc w:val="both"/>
        <w:rPr>
          <w:rFonts w:ascii="Times New Roman" w:hAnsi="Times New Roman" w:cs="Times New Roman"/>
          <w:sz w:val="24"/>
          <w:szCs w:val="24"/>
        </w:rPr>
      </w:pPr>
      <w:r>
        <w:rPr>
          <w:rFonts w:ascii="Times New Roman" w:hAnsi="Times New Roman" w:cs="Times New Roman"/>
          <w:sz w:val="24"/>
          <w:szCs w:val="24"/>
        </w:rPr>
        <w:t>Со потпишувањето на Спогодбата за стабилизација и асоцијација со ЕУ (април 2001 година) и со нејзиното стапување на сила (април 2004 година), започна поинтензивен процес на развој на пазарните регулат</w:t>
      </w:r>
      <w:r w:rsidR="00182F8C">
        <w:rPr>
          <w:rFonts w:ascii="Times New Roman" w:hAnsi="Times New Roman" w:cs="Times New Roman"/>
          <w:sz w:val="24"/>
          <w:szCs w:val="24"/>
        </w:rPr>
        <w:t>о</w:t>
      </w:r>
      <w:r>
        <w:rPr>
          <w:rFonts w:ascii="Times New Roman" w:hAnsi="Times New Roman" w:cs="Times New Roman"/>
          <w:sz w:val="24"/>
          <w:szCs w:val="24"/>
        </w:rPr>
        <w:t>рни институции. Но, и по одминати речиси две декади, перформансите на регулаторните институции и нивното влијание врз развојот на функционалната пазарна економија се далеку од перформансите што овие институции ги остваруваат во земјите од Европската унија.</w:t>
      </w:r>
    </w:p>
    <w:p w:rsidR="005E35F3" w:rsidRPr="000867BB" w:rsidRDefault="00EC6A90" w:rsidP="005D1186">
      <w:pPr>
        <w:jc w:val="both"/>
        <w:rPr>
          <w:rFonts w:ascii="Times New Roman" w:hAnsi="Times New Roman" w:cs="Times New Roman"/>
          <w:sz w:val="24"/>
          <w:szCs w:val="24"/>
        </w:rPr>
      </w:pPr>
      <w:r>
        <w:rPr>
          <w:rFonts w:ascii="Times New Roman" w:hAnsi="Times New Roman" w:cs="Times New Roman"/>
          <w:sz w:val="24"/>
          <w:szCs w:val="24"/>
        </w:rPr>
        <w:t xml:space="preserve">Посебен фокус на анализа во овој труд се секторските регулаторни тела од областа на електронските комуникации, </w:t>
      </w:r>
      <w:r w:rsidR="00077586">
        <w:rPr>
          <w:rFonts w:ascii="Times New Roman" w:hAnsi="Times New Roman" w:cs="Times New Roman"/>
          <w:sz w:val="24"/>
          <w:szCs w:val="24"/>
        </w:rPr>
        <w:t xml:space="preserve">медиумските услуги, </w:t>
      </w:r>
      <w:r>
        <w:rPr>
          <w:rFonts w:ascii="Times New Roman" w:hAnsi="Times New Roman" w:cs="Times New Roman"/>
          <w:sz w:val="24"/>
          <w:szCs w:val="24"/>
        </w:rPr>
        <w:t xml:space="preserve">железничкиот  и поштенскиот транспорт, енергетиката и работата на Комисијата за заштита на конкуренцијата. </w:t>
      </w:r>
      <w:r w:rsidR="000867BB">
        <w:rPr>
          <w:rFonts w:ascii="Times New Roman" w:hAnsi="Times New Roman" w:cs="Times New Roman"/>
          <w:sz w:val="24"/>
          <w:szCs w:val="24"/>
        </w:rPr>
        <w:t>Во фокусот на анализата се поставува прашањето на независноста на овие институции анализирана преку петте димензии на независност (</w:t>
      </w:r>
      <w:r w:rsidR="000867BB">
        <w:rPr>
          <w:rFonts w:ascii="Times New Roman" w:hAnsi="Times New Roman" w:cs="Times New Roman"/>
          <w:sz w:val="24"/>
          <w:szCs w:val="24"/>
          <w:lang w:val="en-US"/>
        </w:rPr>
        <w:t xml:space="preserve">de-jure </w:t>
      </w:r>
      <w:r w:rsidR="000867BB">
        <w:rPr>
          <w:rFonts w:ascii="Times New Roman" w:hAnsi="Times New Roman" w:cs="Times New Roman"/>
          <w:sz w:val="24"/>
          <w:szCs w:val="24"/>
        </w:rPr>
        <w:t xml:space="preserve">независност, транспарентност и отчетност, финансиска независност, независност на менџментот, кадровски капацитет) дефинирани согласно методологијата на </w:t>
      </w:r>
      <w:r w:rsidR="000867BB">
        <w:rPr>
          <w:rFonts w:ascii="Times New Roman" w:hAnsi="Times New Roman" w:cs="Times New Roman"/>
          <w:sz w:val="24"/>
          <w:szCs w:val="24"/>
          <w:lang w:val="en-US"/>
        </w:rPr>
        <w:t>OECD (2018)</w:t>
      </w:r>
      <w:r w:rsidR="000867BB">
        <w:rPr>
          <w:rFonts w:ascii="Times New Roman" w:hAnsi="Times New Roman" w:cs="Times New Roman"/>
          <w:sz w:val="24"/>
          <w:szCs w:val="24"/>
        </w:rPr>
        <w:t>.</w:t>
      </w:r>
    </w:p>
    <w:p w:rsidR="00DC4677" w:rsidRPr="005D1186" w:rsidRDefault="00DC4677" w:rsidP="005D1186">
      <w:pPr>
        <w:jc w:val="both"/>
        <w:rPr>
          <w:rFonts w:ascii="Times New Roman" w:hAnsi="Times New Roman" w:cs="Times New Roman"/>
          <w:sz w:val="24"/>
          <w:szCs w:val="24"/>
        </w:rPr>
      </w:pPr>
      <w:r w:rsidRPr="005D1186">
        <w:rPr>
          <w:rFonts w:ascii="Times New Roman" w:hAnsi="Times New Roman" w:cs="Times New Roman"/>
          <w:sz w:val="24"/>
          <w:szCs w:val="24"/>
        </w:rPr>
        <w:t>Структурата на трудот е следна:</w:t>
      </w:r>
      <w:r w:rsidR="00601B7E" w:rsidRPr="005D1186">
        <w:rPr>
          <w:rFonts w:ascii="Times New Roman" w:hAnsi="Times New Roman" w:cs="Times New Roman"/>
          <w:sz w:val="24"/>
          <w:szCs w:val="24"/>
        </w:rPr>
        <w:t xml:space="preserve"> Во првиот и вториот дел од трудот се анализира потребата од развој на функционални регулаторни институции, и се прави краток преглед на теоретските и емпириските сознанија за придобивките од имплементација на ефикасна и ефективна </w:t>
      </w:r>
      <w:r w:rsidR="00601B7E" w:rsidRPr="005D1186">
        <w:rPr>
          <w:rFonts w:ascii="Times New Roman" w:hAnsi="Times New Roman" w:cs="Times New Roman"/>
          <w:sz w:val="24"/>
          <w:szCs w:val="24"/>
          <w:lang w:val="en-US"/>
        </w:rPr>
        <w:t>ex-ante</w:t>
      </w:r>
      <w:r w:rsidR="00601B7E" w:rsidRPr="005D1186">
        <w:rPr>
          <w:rFonts w:ascii="Times New Roman" w:hAnsi="Times New Roman" w:cs="Times New Roman"/>
          <w:sz w:val="24"/>
          <w:szCs w:val="24"/>
        </w:rPr>
        <w:t xml:space="preserve"> и</w:t>
      </w:r>
      <w:r w:rsidR="00601B7E" w:rsidRPr="005D1186">
        <w:rPr>
          <w:rFonts w:ascii="Times New Roman" w:hAnsi="Times New Roman" w:cs="Times New Roman"/>
          <w:sz w:val="24"/>
          <w:szCs w:val="24"/>
          <w:lang w:val="en-US"/>
        </w:rPr>
        <w:t xml:space="preserve"> ex-post</w:t>
      </w:r>
      <w:r w:rsidR="00601B7E" w:rsidRPr="005D1186">
        <w:rPr>
          <w:rFonts w:ascii="Times New Roman" w:hAnsi="Times New Roman" w:cs="Times New Roman"/>
          <w:sz w:val="24"/>
          <w:szCs w:val="24"/>
        </w:rPr>
        <w:t xml:space="preserve"> пазарна регулација, соодветно. Третиот дел од трудот е посветен на анализата на состојбите и проблемите во развојот на системот на ефикасна економска и пазарна регулација во македонската економија. Четвртиот дел ги сублимира заклучоците и препораките за идниот развој на регулаторните институци во земјата</w:t>
      </w:r>
      <w:r w:rsidR="005D1186" w:rsidRPr="005D1186">
        <w:rPr>
          <w:rFonts w:ascii="Times New Roman" w:hAnsi="Times New Roman" w:cs="Times New Roman"/>
          <w:sz w:val="24"/>
          <w:szCs w:val="24"/>
        </w:rPr>
        <w:t>.</w:t>
      </w:r>
    </w:p>
    <w:p w:rsidR="00601B7E" w:rsidRPr="005D1186" w:rsidRDefault="00601B7E" w:rsidP="005D1186">
      <w:pPr>
        <w:jc w:val="both"/>
        <w:rPr>
          <w:rFonts w:ascii="Times New Roman" w:hAnsi="Times New Roman" w:cs="Times New Roman"/>
          <w:i/>
          <w:sz w:val="24"/>
          <w:szCs w:val="24"/>
        </w:rPr>
      </w:pPr>
      <w:r w:rsidRPr="005D1186">
        <w:rPr>
          <w:rFonts w:ascii="Times New Roman" w:hAnsi="Times New Roman" w:cs="Times New Roman"/>
          <w:b/>
          <w:i/>
          <w:sz w:val="24"/>
          <w:szCs w:val="24"/>
        </w:rPr>
        <w:lastRenderedPageBreak/>
        <w:t>Клучни зборови</w:t>
      </w:r>
      <w:r w:rsidRPr="005D1186">
        <w:rPr>
          <w:rFonts w:ascii="Times New Roman" w:hAnsi="Times New Roman" w:cs="Times New Roman"/>
          <w:i/>
          <w:sz w:val="24"/>
          <w:szCs w:val="24"/>
        </w:rPr>
        <w:t>: регулаторни институции (АЕК, АП, АВМУ,АРЖС, РКЕ и КЗК</w:t>
      </w:r>
      <w:r w:rsidR="00077586" w:rsidRPr="005D1186">
        <w:rPr>
          <w:rFonts w:ascii="Times New Roman" w:hAnsi="Times New Roman" w:cs="Times New Roman"/>
          <w:i/>
          <w:sz w:val="24"/>
          <w:szCs w:val="24"/>
        </w:rPr>
        <w:t>), независност, ефикасност, пазарна конкуренција,општествена благосостојба</w:t>
      </w:r>
    </w:p>
    <w:p w:rsidR="00DC4677" w:rsidRPr="00DE6F6E" w:rsidRDefault="00182F8C" w:rsidP="005D1186">
      <w:pPr>
        <w:jc w:val="both"/>
        <w:rPr>
          <w:rFonts w:ascii="Times New Roman" w:hAnsi="Times New Roman" w:cs="Times New Roman"/>
          <w:b/>
          <w:sz w:val="24"/>
          <w:szCs w:val="24"/>
        </w:rPr>
      </w:pPr>
      <w:r w:rsidRPr="00DE6F6E">
        <w:rPr>
          <w:rFonts w:ascii="Times New Roman" w:hAnsi="Times New Roman" w:cs="Times New Roman"/>
          <w:b/>
          <w:sz w:val="24"/>
          <w:szCs w:val="24"/>
        </w:rPr>
        <w:t>1. Развој на независни и функционални регулаторни институции: реална потреба или формално задоволување на преземените обврски од ССА</w:t>
      </w:r>
    </w:p>
    <w:p w:rsidR="002A30BF" w:rsidRDefault="00DE6F6E" w:rsidP="005D1186">
      <w:pPr>
        <w:jc w:val="both"/>
        <w:rPr>
          <w:rFonts w:ascii="Times New Roman" w:hAnsi="Times New Roman" w:cs="Times New Roman"/>
          <w:sz w:val="24"/>
          <w:szCs w:val="24"/>
        </w:rPr>
      </w:pPr>
      <w:r>
        <w:rPr>
          <w:rFonts w:ascii="Times New Roman" w:hAnsi="Times New Roman" w:cs="Times New Roman"/>
          <w:sz w:val="24"/>
          <w:szCs w:val="24"/>
        </w:rPr>
        <w:t xml:space="preserve">Според </w:t>
      </w:r>
      <w:r>
        <w:rPr>
          <w:rFonts w:ascii="Times New Roman" w:hAnsi="Times New Roman" w:cs="Times New Roman"/>
          <w:sz w:val="24"/>
          <w:szCs w:val="24"/>
          <w:lang w:val="en-US"/>
        </w:rPr>
        <w:t>EBRD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Transition Report (2006), </w:t>
      </w:r>
      <w:r>
        <w:rPr>
          <w:rFonts w:ascii="Times New Roman" w:hAnsi="Times New Roman" w:cs="Times New Roman"/>
          <w:sz w:val="24"/>
          <w:szCs w:val="24"/>
        </w:rPr>
        <w:t>македонската економија во почетокот на 90-те години од минатиот век бележ</w:t>
      </w:r>
      <w:r w:rsidR="00AA404D">
        <w:rPr>
          <w:rFonts w:ascii="Times New Roman" w:hAnsi="Times New Roman" w:cs="Times New Roman"/>
          <w:sz w:val="24"/>
          <w:szCs w:val="24"/>
        </w:rPr>
        <w:t>еше</w:t>
      </w:r>
      <w:r>
        <w:rPr>
          <w:rFonts w:ascii="Times New Roman" w:hAnsi="Times New Roman" w:cs="Times New Roman"/>
          <w:sz w:val="24"/>
          <w:szCs w:val="24"/>
        </w:rPr>
        <w:t xml:space="preserve"> подобри стартни позиции во институционалниот развој во однос на земјите од ЦИЕ. Меѓутоа, во почетокот на транзицијата и изградбата на новиот општествено-политички и економски систем кој ќе почива на концептот на демократско општество и пазарна економија, развојот на институциите беше занемарен. Еден дел од секторските регулаторни тела се формираа како дирекции во </w:t>
      </w:r>
      <w:r w:rsidR="002A30BF">
        <w:rPr>
          <w:rFonts w:ascii="Times New Roman" w:hAnsi="Times New Roman" w:cs="Times New Roman"/>
          <w:sz w:val="24"/>
          <w:szCs w:val="24"/>
        </w:rPr>
        <w:t xml:space="preserve">рамките на </w:t>
      </w:r>
      <w:r>
        <w:rPr>
          <w:rFonts w:ascii="Times New Roman" w:hAnsi="Times New Roman" w:cs="Times New Roman"/>
          <w:sz w:val="24"/>
          <w:szCs w:val="24"/>
        </w:rPr>
        <w:t xml:space="preserve">надлежните министерства, без правна самостојност и без можност за ефикасно делување врз развојот на секторските пазари. </w:t>
      </w:r>
    </w:p>
    <w:p w:rsidR="00182F8C" w:rsidRDefault="00DE6F6E" w:rsidP="005D1186">
      <w:pPr>
        <w:jc w:val="both"/>
        <w:rPr>
          <w:rFonts w:ascii="Times New Roman" w:hAnsi="Times New Roman" w:cs="Times New Roman"/>
          <w:sz w:val="24"/>
          <w:szCs w:val="24"/>
        </w:rPr>
      </w:pPr>
      <w:r>
        <w:rPr>
          <w:rFonts w:ascii="Times New Roman" w:hAnsi="Times New Roman" w:cs="Times New Roman"/>
          <w:sz w:val="24"/>
          <w:szCs w:val="24"/>
        </w:rPr>
        <w:t>Со потпишувањето на Спогодбата за стабилизација и асоцијација</w:t>
      </w:r>
      <w:r w:rsidR="00515D25">
        <w:rPr>
          <w:rFonts w:ascii="Times New Roman" w:hAnsi="Times New Roman" w:cs="Times New Roman"/>
          <w:sz w:val="24"/>
          <w:szCs w:val="24"/>
        </w:rPr>
        <w:t xml:space="preserve"> (ССА)</w:t>
      </w:r>
      <w:r>
        <w:rPr>
          <w:rFonts w:ascii="Times New Roman" w:hAnsi="Times New Roman" w:cs="Times New Roman"/>
          <w:sz w:val="24"/>
          <w:szCs w:val="24"/>
        </w:rPr>
        <w:t xml:space="preserve"> со ЕУ во 2001 година, започнува нова </w:t>
      </w:r>
      <w:r w:rsidR="002A30BF">
        <w:rPr>
          <w:rFonts w:ascii="Times New Roman" w:hAnsi="Times New Roman" w:cs="Times New Roman"/>
          <w:sz w:val="24"/>
          <w:szCs w:val="24"/>
        </w:rPr>
        <w:t xml:space="preserve">фаза </w:t>
      </w:r>
      <w:r>
        <w:rPr>
          <w:rFonts w:ascii="Times New Roman" w:hAnsi="Times New Roman" w:cs="Times New Roman"/>
          <w:sz w:val="24"/>
          <w:szCs w:val="24"/>
        </w:rPr>
        <w:t xml:space="preserve">во институционалниот развој во земјата, а во тие рамки и на регулаторните институции. </w:t>
      </w:r>
      <w:r w:rsidR="0099563E">
        <w:rPr>
          <w:rFonts w:ascii="Times New Roman" w:hAnsi="Times New Roman" w:cs="Times New Roman"/>
          <w:sz w:val="24"/>
          <w:szCs w:val="24"/>
        </w:rPr>
        <w:t>Еден дел од превземените обврски од спогодбата</w:t>
      </w:r>
      <w:r w:rsidR="00322FFE">
        <w:rPr>
          <w:rFonts w:ascii="Times New Roman" w:hAnsi="Times New Roman" w:cs="Times New Roman"/>
          <w:sz w:val="24"/>
          <w:szCs w:val="24"/>
        </w:rPr>
        <w:t xml:space="preserve"> се однесуваа на либерализација на монополизираните дејности во економијата и соодветно формирање и развој на </w:t>
      </w:r>
      <w:r w:rsidR="00322FFE">
        <w:rPr>
          <w:rFonts w:ascii="Times New Roman" w:hAnsi="Times New Roman" w:cs="Times New Roman"/>
          <w:sz w:val="24"/>
          <w:szCs w:val="24"/>
          <w:lang w:val="en-US"/>
        </w:rPr>
        <w:t>ex-ante</w:t>
      </w:r>
      <w:r w:rsidR="00DD6C63">
        <w:rPr>
          <w:rFonts w:ascii="Times New Roman" w:hAnsi="Times New Roman" w:cs="Times New Roman"/>
          <w:sz w:val="24"/>
          <w:szCs w:val="24"/>
        </w:rPr>
        <w:t xml:space="preserve"> и</w:t>
      </w:r>
      <w:r w:rsidR="00322FFE">
        <w:rPr>
          <w:rFonts w:ascii="Times New Roman" w:hAnsi="Times New Roman" w:cs="Times New Roman"/>
          <w:sz w:val="24"/>
          <w:szCs w:val="24"/>
          <w:lang w:val="en-US"/>
        </w:rPr>
        <w:t xml:space="preserve"> ex-post</w:t>
      </w:r>
      <w:r w:rsidR="00DD6C63">
        <w:rPr>
          <w:rFonts w:ascii="Times New Roman" w:hAnsi="Times New Roman" w:cs="Times New Roman"/>
          <w:sz w:val="24"/>
          <w:szCs w:val="24"/>
        </w:rPr>
        <w:t xml:space="preserve"> пазарната регулација.</w:t>
      </w:r>
      <w:r w:rsidR="00F651D4">
        <w:rPr>
          <w:rFonts w:ascii="Times New Roman" w:hAnsi="Times New Roman" w:cs="Times New Roman"/>
          <w:sz w:val="24"/>
          <w:szCs w:val="24"/>
        </w:rPr>
        <w:t xml:space="preserve"> </w:t>
      </w:r>
    </w:p>
    <w:p w:rsidR="00CE0AE1" w:rsidRDefault="00CE0AE1" w:rsidP="005D1186">
      <w:pPr>
        <w:jc w:val="both"/>
        <w:rPr>
          <w:rFonts w:ascii="Times New Roman" w:hAnsi="Times New Roman" w:cs="Times New Roman"/>
          <w:sz w:val="24"/>
          <w:szCs w:val="24"/>
        </w:rPr>
      </w:pPr>
      <w:r>
        <w:rPr>
          <w:rFonts w:ascii="Times New Roman" w:hAnsi="Times New Roman" w:cs="Times New Roman"/>
          <w:sz w:val="24"/>
          <w:szCs w:val="24"/>
        </w:rPr>
        <w:t>Македонската економија во почетокот на транзицијата се карактеризираше со постоење на големи производствени капацитети, во доменот на јавните услуги доминираа државните монополски претпријатија, и во најголем дел индустриските гранки се карактеризираа со високи стапки на пазарна концентрација. Либерализацијата на пазарите</w:t>
      </w:r>
      <w:r w:rsidR="00515D25">
        <w:rPr>
          <w:rFonts w:ascii="Times New Roman" w:hAnsi="Times New Roman" w:cs="Times New Roman"/>
          <w:sz w:val="24"/>
          <w:szCs w:val="24"/>
        </w:rPr>
        <w:t xml:space="preserve"> значеше приватизација на државните монополи и отворање на пазарите за влез на нови конкуренти. Успешната реализација на овој процес бараше развој на соодветна институционална инфраструктура на </w:t>
      </w:r>
      <w:r w:rsidR="00515D25">
        <w:rPr>
          <w:rFonts w:ascii="Times New Roman" w:hAnsi="Times New Roman" w:cs="Times New Roman"/>
          <w:sz w:val="24"/>
          <w:szCs w:val="24"/>
          <w:lang w:val="en-US"/>
        </w:rPr>
        <w:t>ex-ante</w:t>
      </w:r>
      <w:r w:rsidR="00515D25">
        <w:rPr>
          <w:rFonts w:ascii="Times New Roman" w:hAnsi="Times New Roman" w:cs="Times New Roman"/>
          <w:sz w:val="24"/>
          <w:szCs w:val="24"/>
        </w:rPr>
        <w:t xml:space="preserve"> и</w:t>
      </w:r>
      <w:r w:rsidR="00515D25">
        <w:rPr>
          <w:rFonts w:ascii="Times New Roman" w:hAnsi="Times New Roman" w:cs="Times New Roman"/>
          <w:sz w:val="24"/>
          <w:szCs w:val="24"/>
          <w:lang w:val="en-US"/>
        </w:rPr>
        <w:t xml:space="preserve"> ex-post</w:t>
      </w:r>
      <w:r w:rsidR="00515D25">
        <w:rPr>
          <w:rFonts w:ascii="Times New Roman" w:hAnsi="Times New Roman" w:cs="Times New Roman"/>
          <w:sz w:val="24"/>
          <w:szCs w:val="24"/>
        </w:rPr>
        <w:t xml:space="preserve"> пазарната регулација. Значи, развојот на пазарните регулаторни институции не треба да се третира како формално исполнување на задачата од превземените обврски на ССА, туку тие се реална потреба и значаен предуслов за успешен развој на една функционална пазарна </w:t>
      </w:r>
      <w:r w:rsidR="002B4398">
        <w:rPr>
          <w:rFonts w:ascii="Times New Roman" w:hAnsi="Times New Roman" w:cs="Times New Roman"/>
          <w:sz w:val="24"/>
          <w:szCs w:val="24"/>
        </w:rPr>
        <w:t>економија</w:t>
      </w:r>
      <w:r w:rsidR="00515D25">
        <w:rPr>
          <w:rFonts w:ascii="Times New Roman" w:hAnsi="Times New Roman" w:cs="Times New Roman"/>
          <w:sz w:val="24"/>
          <w:szCs w:val="24"/>
        </w:rPr>
        <w:t>.</w:t>
      </w:r>
    </w:p>
    <w:p w:rsidR="00824FE9" w:rsidRDefault="00824FE9" w:rsidP="005D1186">
      <w:pPr>
        <w:jc w:val="both"/>
        <w:rPr>
          <w:rFonts w:ascii="Times New Roman" w:hAnsi="Times New Roman" w:cs="Times New Roman"/>
          <w:sz w:val="24"/>
          <w:szCs w:val="24"/>
        </w:rPr>
      </w:pPr>
      <w:r>
        <w:rPr>
          <w:rFonts w:ascii="Times New Roman" w:hAnsi="Times New Roman" w:cs="Times New Roman"/>
          <w:sz w:val="24"/>
          <w:szCs w:val="24"/>
        </w:rPr>
        <w:t>За жал, според досегашното искуство во македонската економија развојот на регулаторните институции повеќе е формален процес (</w:t>
      </w:r>
      <w:r w:rsidR="002A30BF">
        <w:rPr>
          <w:rFonts w:ascii="Times New Roman" w:hAnsi="Times New Roman" w:cs="Times New Roman"/>
          <w:sz w:val="24"/>
          <w:szCs w:val="24"/>
          <w:lang w:val="en-US"/>
        </w:rPr>
        <w:t>de-jure</w:t>
      </w:r>
      <w:r>
        <w:rPr>
          <w:rFonts w:ascii="Times New Roman" w:hAnsi="Times New Roman" w:cs="Times New Roman"/>
          <w:sz w:val="24"/>
          <w:szCs w:val="24"/>
        </w:rPr>
        <w:t xml:space="preserve"> законска рамка постои, и во голема мера е усогласена со соодветната регулатива од ЕУ), отколку реален и ефикасен начин за заштита на пазарите и пазарната конкуренција (отсуство на </w:t>
      </w:r>
      <w:r w:rsidR="002A30BF">
        <w:rPr>
          <w:rFonts w:ascii="Times New Roman" w:hAnsi="Times New Roman" w:cs="Times New Roman"/>
          <w:sz w:val="24"/>
          <w:szCs w:val="24"/>
          <w:lang w:val="en-US"/>
        </w:rPr>
        <w:t>de-facto</w:t>
      </w:r>
      <w:r w:rsidR="002A30BF">
        <w:rPr>
          <w:rFonts w:ascii="Times New Roman" w:hAnsi="Times New Roman" w:cs="Times New Roman"/>
          <w:sz w:val="24"/>
          <w:szCs w:val="24"/>
        </w:rPr>
        <w:t xml:space="preserve"> </w:t>
      </w:r>
      <w:r>
        <w:rPr>
          <w:rFonts w:ascii="Times New Roman" w:hAnsi="Times New Roman" w:cs="Times New Roman"/>
          <w:sz w:val="24"/>
          <w:szCs w:val="24"/>
        </w:rPr>
        <w:t>примена на регулативата).</w:t>
      </w:r>
    </w:p>
    <w:p w:rsidR="00824FE9" w:rsidRDefault="00824FE9" w:rsidP="00FE7451">
      <w:pPr>
        <w:jc w:val="both"/>
        <w:rPr>
          <w:rFonts w:ascii="Times New Roman" w:hAnsi="Times New Roman" w:cs="Times New Roman"/>
          <w:b/>
          <w:sz w:val="24"/>
          <w:szCs w:val="24"/>
        </w:rPr>
      </w:pPr>
      <w:r w:rsidRPr="00824FE9">
        <w:rPr>
          <w:rFonts w:ascii="Times New Roman" w:hAnsi="Times New Roman" w:cs="Times New Roman"/>
          <w:b/>
          <w:sz w:val="24"/>
          <w:szCs w:val="24"/>
        </w:rPr>
        <w:t>2. Теоретски истражувања и емпириски сознанија за придобивките од ефикасната пазарна регулација</w:t>
      </w:r>
    </w:p>
    <w:p w:rsidR="000867BB" w:rsidRPr="00497D93" w:rsidRDefault="000867BB" w:rsidP="00FE7451">
      <w:pPr>
        <w:jc w:val="both"/>
        <w:rPr>
          <w:rFonts w:ascii="Times New Roman" w:hAnsi="Times New Roman" w:cs="Times New Roman"/>
          <w:sz w:val="24"/>
          <w:szCs w:val="24"/>
          <w:lang w:val="en-US"/>
        </w:rPr>
      </w:pPr>
      <w:r w:rsidRPr="006C2FC2">
        <w:rPr>
          <w:rFonts w:ascii="Times New Roman" w:hAnsi="Times New Roman" w:cs="Times New Roman"/>
          <w:sz w:val="24"/>
          <w:szCs w:val="24"/>
        </w:rPr>
        <w:t>Резултатите од направените теоретски и емпириски студии доведуваат до заклучокот дека конкуренцијата во современите услови на пазарно функционирање треба да биде заштитена.</w:t>
      </w:r>
      <w:r w:rsidR="006C2FC2">
        <w:rPr>
          <w:rFonts w:ascii="Times New Roman" w:hAnsi="Times New Roman" w:cs="Times New Roman"/>
          <w:sz w:val="24"/>
          <w:szCs w:val="24"/>
        </w:rPr>
        <w:t xml:space="preserve"> Модалитетите во имплементацијата и развојот на институционалната инфраструктура се различни и се одраз пред сѐ на нивото на општествениот и </w:t>
      </w:r>
      <w:r w:rsidR="006C2FC2">
        <w:rPr>
          <w:rFonts w:ascii="Times New Roman" w:hAnsi="Times New Roman" w:cs="Times New Roman"/>
          <w:sz w:val="24"/>
          <w:szCs w:val="24"/>
        </w:rPr>
        <w:lastRenderedPageBreak/>
        <w:t>економскиот развој како и на политичката волја во земјата, а потоа и на стручноста на менаџментот и кадровскиот капацитет на институциите.</w:t>
      </w:r>
      <w:r w:rsidR="00497D93">
        <w:rPr>
          <w:rFonts w:ascii="Times New Roman" w:hAnsi="Times New Roman" w:cs="Times New Roman"/>
          <w:sz w:val="24"/>
          <w:szCs w:val="24"/>
        </w:rPr>
        <w:t xml:space="preserve"> Прашањето за заштита на пазарната конкуренција и потребата за развој на ефикасни и независни регулаторни институции стануваше сѐ поактуелно со засилувањето на процесот на глобализацијата (во последните дваесетина години од минатиот век), распадот и трансформацијата на социјалистичкиот блок на земји како и со отпочнувањето процесот на проширување на Европската унија со земјите од Централно - источна (ЦИЕ) и Југо – источна Европа (ЈИЕ)</w:t>
      </w:r>
      <w:r w:rsidR="00AD0C88">
        <w:rPr>
          <w:rFonts w:ascii="Times New Roman" w:hAnsi="Times New Roman" w:cs="Times New Roman"/>
          <w:sz w:val="24"/>
          <w:szCs w:val="24"/>
        </w:rPr>
        <w:t>, (Мамучевска, 2013)</w:t>
      </w:r>
      <w:r w:rsidR="00497D93">
        <w:rPr>
          <w:rFonts w:ascii="Times New Roman" w:hAnsi="Times New Roman" w:cs="Times New Roman"/>
          <w:sz w:val="24"/>
          <w:szCs w:val="24"/>
        </w:rPr>
        <w:t>. Процесот на институционален развој и учење се одвиваше со различно темпо во различните групи на земји. Земјите од ЦИЕ, кои први се стекнаа со статусот на полноправни членки во ЕУ</w:t>
      </w:r>
      <w:r w:rsidR="007823F7">
        <w:rPr>
          <w:rFonts w:ascii="Times New Roman" w:hAnsi="Times New Roman" w:cs="Times New Roman"/>
          <w:sz w:val="24"/>
          <w:szCs w:val="24"/>
        </w:rPr>
        <w:t xml:space="preserve">, во споредба со останатите европски транзициони економии, </w:t>
      </w:r>
      <w:r w:rsidR="00497D93">
        <w:rPr>
          <w:rFonts w:ascii="Times New Roman" w:hAnsi="Times New Roman" w:cs="Times New Roman"/>
          <w:sz w:val="24"/>
          <w:szCs w:val="24"/>
        </w:rPr>
        <w:t xml:space="preserve"> имаа забрзан процес на институционално учење, и многу брзо го надминаа почетниот институционален дефицит (</w:t>
      </w:r>
      <w:r w:rsidR="00497D93">
        <w:rPr>
          <w:rFonts w:ascii="Times New Roman" w:hAnsi="Times New Roman" w:cs="Times New Roman"/>
          <w:sz w:val="24"/>
          <w:szCs w:val="24"/>
          <w:lang w:val="en-US"/>
        </w:rPr>
        <w:t>EBRD 2006).</w:t>
      </w:r>
    </w:p>
    <w:p w:rsidR="00D9373C" w:rsidRPr="006A03A9" w:rsidRDefault="00D9373C" w:rsidP="00FE7451">
      <w:pPr>
        <w:jc w:val="both"/>
        <w:rPr>
          <w:rFonts w:ascii="Times New Roman" w:hAnsi="Times New Roman" w:cs="Times New Roman"/>
          <w:sz w:val="24"/>
          <w:szCs w:val="24"/>
        </w:rPr>
      </w:pPr>
      <w:r w:rsidRPr="00D9373C">
        <w:rPr>
          <w:rFonts w:ascii="Times New Roman" w:hAnsi="Times New Roman" w:cs="Times New Roman"/>
          <w:sz w:val="24"/>
          <w:szCs w:val="24"/>
        </w:rPr>
        <w:t>Во развиените индустриски економии карактеристично е постоењето на економската регулација која е фокусирана само во одредени сектори како на пример, услужниот сектор, инфраструктурниот сектор, транспортот, секторот за енергија, секторот на медиуми и сл. Односно, во овие сектори за да се обезбеди задоволително ниво на конкурентно однесување на фирмите потребна е директна или индиректна супервизија на пазарите од страна на државата.</w:t>
      </w:r>
      <w:r>
        <w:rPr>
          <w:rFonts w:ascii="Times New Roman" w:hAnsi="Times New Roman" w:cs="Times New Roman"/>
          <w:sz w:val="24"/>
          <w:szCs w:val="24"/>
        </w:rPr>
        <w:t xml:space="preserve"> </w:t>
      </w:r>
      <w:r w:rsidRPr="00562E8B">
        <w:rPr>
          <w:rFonts w:ascii="Times New Roman" w:hAnsi="Times New Roman" w:cs="Times New Roman"/>
          <w:sz w:val="24"/>
          <w:szCs w:val="24"/>
        </w:rPr>
        <w:t>Според Papadopoulos (2010) пазарниот</w:t>
      </w:r>
      <w:r w:rsidRPr="006A03A9">
        <w:rPr>
          <w:rFonts w:ascii="Times New Roman" w:hAnsi="Times New Roman" w:cs="Times New Roman"/>
          <w:sz w:val="24"/>
          <w:szCs w:val="24"/>
        </w:rPr>
        <w:t xml:space="preserve"> неуспех и потребата од заштита на одредени стандарди и ниво на квалитет се главните причини поради кои се воведува економската регулација во одредени сектори. </w:t>
      </w:r>
      <w:r w:rsidR="007823F7">
        <w:rPr>
          <w:rFonts w:ascii="Times New Roman" w:hAnsi="Times New Roman" w:cs="Times New Roman"/>
          <w:sz w:val="24"/>
          <w:szCs w:val="24"/>
        </w:rPr>
        <w:t>Според него,</w:t>
      </w:r>
      <w:r w:rsidRPr="006A03A9">
        <w:rPr>
          <w:rFonts w:ascii="Times New Roman" w:hAnsi="Times New Roman" w:cs="Times New Roman"/>
          <w:sz w:val="24"/>
          <w:szCs w:val="24"/>
        </w:rPr>
        <w:t xml:space="preserve"> </w:t>
      </w:r>
      <w:r w:rsidR="007823F7">
        <w:rPr>
          <w:rFonts w:ascii="Times New Roman" w:hAnsi="Times New Roman" w:cs="Times New Roman"/>
          <w:sz w:val="24"/>
          <w:szCs w:val="24"/>
        </w:rPr>
        <w:t>е</w:t>
      </w:r>
      <w:r w:rsidRPr="006A03A9">
        <w:rPr>
          <w:rFonts w:ascii="Times New Roman" w:hAnsi="Times New Roman" w:cs="Times New Roman"/>
          <w:sz w:val="24"/>
          <w:szCs w:val="24"/>
        </w:rPr>
        <w:t>кономската основа за спроведување на регулацијата во одреден сектор се заснова на „принципал-агент“ моделот, во кој во улога на принципал се јавува  рег</w:t>
      </w:r>
      <w:r>
        <w:rPr>
          <w:rFonts w:ascii="Times New Roman" w:hAnsi="Times New Roman" w:cs="Times New Roman"/>
          <w:sz w:val="24"/>
          <w:szCs w:val="24"/>
        </w:rPr>
        <w:t xml:space="preserve">улаторното тело во секторот, а </w:t>
      </w:r>
      <w:r w:rsidRPr="006A03A9">
        <w:rPr>
          <w:rFonts w:ascii="Times New Roman" w:hAnsi="Times New Roman" w:cs="Times New Roman"/>
          <w:sz w:val="24"/>
          <w:szCs w:val="24"/>
        </w:rPr>
        <w:t>регулираната фирма е во улога на агент</w:t>
      </w:r>
      <w:r>
        <w:rPr>
          <w:rFonts w:ascii="Times New Roman" w:hAnsi="Times New Roman" w:cs="Times New Roman"/>
          <w:sz w:val="24"/>
          <w:szCs w:val="24"/>
        </w:rPr>
        <w:t>.</w:t>
      </w:r>
    </w:p>
    <w:p w:rsidR="00D9373C" w:rsidRDefault="000867BB" w:rsidP="00FE7451">
      <w:pPr>
        <w:jc w:val="both"/>
        <w:rPr>
          <w:rFonts w:ascii="Times New Roman" w:hAnsi="Times New Roman" w:cs="Times New Roman"/>
          <w:sz w:val="24"/>
          <w:szCs w:val="24"/>
        </w:rPr>
      </w:pPr>
      <w:r w:rsidRPr="006C2FC2">
        <w:rPr>
          <w:rFonts w:ascii="Times New Roman" w:hAnsi="Times New Roman" w:cs="Times New Roman"/>
          <w:sz w:val="24"/>
          <w:szCs w:val="24"/>
        </w:rPr>
        <w:t>Baldvin</w:t>
      </w:r>
      <w:r w:rsidRPr="006C2FC2">
        <w:rPr>
          <w:rFonts w:ascii="Times New Roman" w:hAnsi="Times New Roman" w:cs="Times New Roman"/>
          <w:sz w:val="24"/>
          <w:szCs w:val="24"/>
          <w:lang w:val="ru-RU"/>
        </w:rPr>
        <w:t xml:space="preserve"> </w:t>
      </w:r>
      <w:r w:rsidRPr="006C2FC2">
        <w:rPr>
          <w:rFonts w:ascii="Times New Roman" w:hAnsi="Times New Roman" w:cs="Times New Roman"/>
          <w:sz w:val="24"/>
          <w:szCs w:val="24"/>
        </w:rPr>
        <w:t>и Cave</w:t>
      </w:r>
      <w:r w:rsidRPr="006C2FC2">
        <w:rPr>
          <w:rFonts w:ascii="Times New Roman" w:hAnsi="Times New Roman" w:cs="Times New Roman"/>
          <w:sz w:val="24"/>
          <w:szCs w:val="24"/>
          <w:lang w:val="ru-RU"/>
        </w:rPr>
        <w:t xml:space="preserve"> (1999)</w:t>
      </w:r>
      <w:r w:rsidRPr="006C2FC2">
        <w:rPr>
          <w:rFonts w:ascii="Times New Roman" w:hAnsi="Times New Roman" w:cs="Times New Roman"/>
          <w:sz w:val="24"/>
          <w:szCs w:val="24"/>
        </w:rPr>
        <w:t xml:space="preserve"> укажуваат на постоење на три фази на либерализација на секторите во кои доминирал државниот монопол, движејќи се од доминантно економска регулација е</w:t>
      </w:r>
      <w:r w:rsidRPr="006C2FC2">
        <w:rPr>
          <w:rFonts w:ascii="Times New Roman" w:hAnsi="Times New Roman" w:cs="Times New Roman"/>
          <w:sz w:val="24"/>
          <w:szCs w:val="24"/>
          <w:lang w:val="en-US"/>
        </w:rPr>
        <w:t>x-ante</w:t>
      </w:r>
      <w:r w:rsidRPr="006C2FC2">
        <w:rPr>
          <w:rFonts w:ascii="Times New Roman" w:hAnsi="Times New Roman" w:cs="Times New Roman"/>
          <w:sz w:val="24"/>
          <w:szCs w:val="24"/>
        </w:rPr>
        <w:t xml:space="preserve"> кон чисто е</w:t>
      </w:r>
      <w:r w:rsidRPr="006C2FC2">
        <w:rPr>
          <w:rFonts w:ascii="Times New Roman" w:hAnsi="Times New Roman" w:cs="Times New Roman"/>
          <w:sz w:val="24"/>
          <w:szCs w:val="24"/>
          <w:lang w:val="en-US"/>
        </w:rPr>
        <w:t>x –post</w:t>
      </w:r>
      <w:r w:rsidRPr="006C2FC2">
        <w:rPr>
          <w:rFonts w:ascii="Times New Roman" w:hAnsi="Times New Roman" w:cs="Times New Roman"/>
          <w:sz w:val="24"/>
          <w:szCs w:val="24"/>
        </w:rPr>
        <w:t xml:space="preserve"> пазарна регулација. Првата фаза е фазата на пред-конкуренција, каде во секторите не постои пазарната конкуренција, или пак таа е во нејзиниот зачеток, и затоа се воведува економската регулација со цел да се спречат монополските активности од страна на постојната и доминантна фирма на пазарот. Втората фаза е фазата на настанување и развој на пазарната конкуренција во која економската регулација претежно е насочена кон регулација на цената</w:t>
      </w:r>
      <w:r w:rsidRPr="006C2FC2">
        <w:rPr>
          <w:rFonts w:ascii="Times New Roman" w:hAnsi="Times New Roman" w:cs="Times New Roman"/>
          <w:sz w:val="24"/>
          <w:szCs w:val="24"/>
          <w:lang w:val="en-US"/>
        </w:rPr>
        <w:t xml:space="preserve">, </w:t>
      </w:r>
      <w:r w:rsidRPr="006C2FC2">
        <w:rPr>
          <w:rFonts w:ascii="Times New Roman" w:hAnsi="Times New Roman" w:cs="Times New Roman"/>
          <w:sz w:val="24"/>
          <w:szCs w:val="24"/>
        </w:rPr>
        <w:t>условите за влез на пазарот  и во исто време се користат принципите на политиката за заштита на конкуренцијата во сегментите од секторот кои во целост функционираат според пазарните принципи. Третата фаза е фазата на конкурентни пазари т.е. сектори во кои повеќе нема потреба од водење на економската регулација, и во целиот сектор т.е. на пазарот во целост се применуваат начелата на политиката за заштита на конкуренцијата.</w:t>
      </w:r>
      <w:r w:rsidR="00AD0C88">
        <w:rPr>
          <w:rFonts w:ascii="Times New Roman" w:hAnsi="Times New Roman" w:cs="Times New Roman"/>
          <w:sz w:val="24"/>
          <w:szCs w:val="24"/>
        </w:rPr>
        <w:t xml:space="preserve"> </w:t>
      </w:r>
    </w:p>
    <w:p w:rsidR="000867BB" w:rsidRPr="00502AA5" w:rsidRDefault="000D641D" w:rsidP="00FE7451">
      <w:pPr>
        <w:jc w:val="both"/>
        <w:rPr>
          <w:rFonts w:ascii="Times New Roman" w:hAnsi="Times New Roman" w:cs="Times New Roman"/>
          <w:sz w:val="24"/>
          <w:szCs w:val="24"/>
        </w:rPr>
      </w:pPr>
      <w:r w:rsidRPr="00502AA5">
        <w:rPr>
          <w:rFonts w:ascii="Times New Roman" w:hAnsi="Times New Roman" w:cs="Times New Roman"/>
          <w:sz w:val="24"/>
          <w:szCs w:val="24"/>
        </w:rPr>
        <w:t xml:space="preserve">Во последните две децении значително се зголеми интересот за емпириско проучување на ефектите од примената </w:t>
      </w:r>
      <w:r w:rsidR="0071636D">
        <w:rPr>
          <w:rFonts w:ascii="Times New Roman" w:hAnsi="Times New Roman" w:cs="Times New Roman"/>
          <w:sz w:val="24"/>
          <w:szCs w:val="24"/>
        </w:rPr>
        <w:t>економската и пазарната регулација</w:t>
      </w:r>
      <w:r w:rsidRPr="00502AA5">
        <w:rPr>
          <w:rFonts w:ascii="Times New Roman" w:hAnsi="Times New Roman" w:cs="Times New Roman"/>
          <w:sz w:val="24"/>
          <w:szCs w:val="24"/>
        </w:rPr>
        <w:t xml:space="preserve">. </w:t>
      </w:r>
      <w:r w:rsidR="00AD0C88" w:rsidRPr="00502AA5">
        <w:rPr>
          <w:rFonts w:ascii="Times New Roman" w:hAnsi="Times New Roman" w:cs="Times New Roman"/>
          <w:sz w:val="24"/>
          <w:szCs w:val="24"/>
        </w:rPr>
        <w:t xml:space="preserve">Анализата во развојот на </w:t>
      </w:r>
      <w:r w:rsidR="00807050" w:rsidRPr="00502AA5">
        <w:rPr>
          <w:rFonts w:ascii="Times New Roman" w:hAnsi="Times New Roman" w:cs="Times New Roman"/>
          <w:sz w:val="24"/>
          <w:szCs w:val="24"/>
        </w:rPr>
        <w:t xml:space="preserve">регулаторните институции </w:t>
      </w:r>
      <w:r w:rsidR="009E1113" w:rsidRPr="00502AA5">
        <w:rPr>
          <w:rFonts w:ascii="Times New Roman" w:hAnsi="Times New Roman" w:cs="Times New Roman"/>
          <w:sz w:val="24"/>
          <w:szCs w:val="24"/>
        </w:rPr>
        <w:t>во земјите членки на Европската унија само го потврдува фактот дека емпиријата е во согласност со теоретските препораки и истражувања</w:t>
      </w:r>
      <w:r w:rsidR="00AC62E2" w:rsidRPr="00502AA5">
        <w:rPr>
          <w:rFonts w:ascii="Times New Roman" w:hAnsi="Times New Roman" w:cs="Times New Roman"/>
          <w:sz w:val="24"/>
          <w:szCs w:val="24"/>
        </w:rPr>
        <w:t xml:space="preserve"> (</w:t>
      </w:r>
      <w:r w:rsidR="00AC62E2" w:rsidRPr="00502AA5">
        <w:rPr>
          <w:rFonts w:ascii="Times New Roman" w:hAnsi="Times New Roman" w:cs="Times New Roman"/>
          <w:sz w:val="24"/>
          <w:szCs w:val="24"/>
          <w:lang w:val="en-US"/>
        </w:rPr>
        <w:t xml:space="preserve">Fingleton et al., (1996), </w:t>
      </w:r>
      <w:r w:rsidR="00AC62E2" w:rsidRPr="00502AA5">
        <w:rPr>
          <w:rFonts w:ascii="Times New Roman" w:hAnsi="Times New Roman" w:cs="Times New Roman"/>
          <w:sz w:val="24"/>
          <w:szCs w:val="24"/>
        </w:rPr>
        <w:t>Khemani. R.S. (editor) (1999)</w:t>
      </w:r>
      <w:r w:rsidR="00AC62E2" w:rsidRPr="00502AA5">
        <w:rPr>
          <w:rFonts w:ascii="Times New Roman" w:hAnsi="Times New Roman" w:cs="Times New Roman"/>
          <w:sz w:val="24"/>
          <w:szCs w:val="24"/>
          <w:lang w:val="en-US"/>
        </w:rPr>
        <w:t xml:space="preserve">, </w:t>
      </w:r>
      <w:r w:rsidR="00AC62E2" w:rsidRPr="00502AA5">
        <w:rPr>
          <w:rFonts w:ascii="Times New Roman" w:hAnsi="Times New Roman" w:cs="Times New Roman"/>
          <w:sz w:val="24"/>
          <w:szCs w:val="24"/>
        </w:rPr>
        <w:t xml:space="preserve">Dutz A. M. and Vagliasindi M. </w:t>
      </w:r>
      <w:r w:rsidR="00AC62E2" w:rsidRPr="00502AA5">
        <w:rPr>
          <w:rFonts w:ascii="Times New Roman" w:hAnsi="Times New Roman" w:cs="Times New Roman"/>
          <w:sz w:val="24"/>
          <w:szCs w:val="24"/>
        </w:rPr>
        <w:lastRenderedPageBreak/>
        <w:t>(2000), Neven D. (2006)</w:t>
      </w:r>
      <w:r w:rsidR="00AC62E2" w:rsidRPr="00502AA5">
        <w:rPr>
          <w:rFonts w:ascii="Times New Roman" w:hAnsi="Times New Roman" w:cs="Times New Roman"/>
          <w:sz w:val="24"/>
          <w:szCs w:val="24"/>
          <w:lang w:val="en-US"/>
        </w:rPr>
        <w:t>)</w:t>
      </w:r>
      <w:r w:rsidR="009E1113" w:rsidRPr="00502AA5">
        <w:rPr>
          <w:rFonts w:ascii="Times New Roman" w:hAnsi="Times New Roman" w:cs="Times New Roman"/>
          <w:sz w:val="24"/>
          <w:szCs w:val="24"/>
        </w:rPr>
        <w:t>.</w:t>
      </w:r>
      <w:r w:rsidR="002F497B">
        <w:rPr>
          <w:rFonts w:ascii="Times New Roman" w:hAnsi="Times New Roman" w:cs="Times New Roman"/>
          <w:sz w:val="24"/>
          <w:szCs w:val="24"/>
        </w:rPr>
        <w:t xml:space="preserve"> Како се развиваа нивните економии, така растеше и свесноста за поголема заштита на пазарната конкуренција, и потребата за ефикасни регулаторни институции како и раст на побарувачката за квалитетни услуги произведени од страна на овие институции.</w:t>
      </w:r>
    </w:p>
    <w:p w:rsidR="006C2FC2" w:rsidRDefault="006C2FC2" w:rsidP="00FE7451">
      <w:pPr>
        <w:jc w:val="both"/>
        <w:rPr>
          <w:rFonts w:ascii="Times New Roman" w:hAnsi="Times New Roman" w:cs="Times New Roman"/>
          <w:sz w:val="24"/>
          <w:szCs w:val="24"/>
        </w:rPr>
      </w:pPr>
      <w:r w:rsidRPr="006C2FC2">
        <w:rPr>
          <w:rFonts w:ascii="Times New Roman" w:hAnsi="Times New Roman" w:cs="Times New Roman"/>
          <w:sz w:val="24"/>
          <w:szCs w:val="24"/>
        </w:rPr>
        <w:t>Г</w:t>
      </w:r>
      <w:r w:rsidR="00064E9A">
        <w:rPr>
          <w:rFonts w:ascii="Times New Roman" w:hAnsi="Times New Roman" w:cs="Times New Roman"/>
          <w:sz w:val="24"/>
          <w:szCs w:val="24"/>
        </w:rPr>
        <w:t>олем број на студии направени од страна на</w:t>
      </w:r>
      <w:r w:rsidRPr="006C2FC2">
        <w:rPr>
          <w:rFonts w:ascii="Times New Roman" w:hAnsi="Times New Roman" w:cs="Times New Roman"/>
          <w:sz w:val="24"/>
          <w:szCs w:val="24"/>
        </w:rPr>
        <w:t xml:space="preserve"> OECD укажуваат на постоење на позитивна корелација помеѓу зголемената конкуренција и остварувањето на подобри економски перформанси изразени преку зголемената продуктивност и зголемувањето на вработеноста. На пример, истражувањата направени во Велика Британија, Германија и Кореја укажуваат дека продуктивноста е поголема во секторите со поголема конкуренција. Ако се има предвид фактот дека основен предуслов за постигнување на динамичен економски развој е зголемената секторска продуктивност, тогаш обезбедувањето на услови за фер и јака конкуренција во сите сектори на економијата претставува главен императив за остварување на повисока продуктивност. На пример, во текот на 1990-те Австралија преку воведување бројни реформи со кои го зајакна конкурентскиот притисок во економијата овозможи земјата да ја доживее својата најдолга експанзија од 1960 година, па наваму (Purcell и Fox, 2009). </w:t>
      </w:r>
    </w:p>
    <w:p w:rsidR="00AA5D08" w:rsidRDefault="00FE7451" w:rsidP="00AA5D08">
      <w:pPr>
        <w:jc w:val="both"/>
        <w:rPr>
          <w:rFonts w:ascii="Times New Roman" w:hAnsi="Times New Roman" w:cs="Times New Roman"/>
          <w:sz w:val="24"/>
          <w:szCs w:val="24"/>
        </w:rPr>
      </w:pPr>
      <w:r w:rsidRPr="000B70BB">
        <w:rPr>
          <w:rFonts w:ascii="Times New Roman" w:hAnsi="Times New Roman" w:cs="Times New Roman"/>
          <w:sz w:val="24"/>
          <w:szCs w:val="24"/>
        </w:rPr>
        <w:t>Postema et al. (2006),</w:t>
      </w:r>
      <w:r w:rsidR="00B710AF">
        <w:rPr>
          <w:rFonts w:ascii="Times New Roman" w:hAnsi="Times New Roman" w:cs="Times New Roman"/>
          <w:sz w:val="24"/>
          <w:szCs w:val="24"/>
        </w:rPr>
        <w:t xml:space="preserve"> и  Baker (2003)</w:t>
      </w:r>
      <w:r w:rsidRPr="000B70BB">
        <w:rPr>
          <w:rFonts w:ascii="Times New Roman" w:hAnsi="Times New Roman" w:cs="Times New Roman"/>
          <w:sz w:val="24"/>
          <w:szCs w:val="24"/>
        </w:rPr>
        <w:t xml:space="preserve"> во своите истражувања укажуваат дека активната примена на </w:t>
      </w:r>
      <w:r w:rsidRPr="000B70BB">
        <w:rPr>
          <w:rFonts w:ascii="Times New Roman" w:hAnsi="Times New Roman" w:cs="Times New Roman"/>
          <w:sz w:val="24"/>
          <w:szCs w:val="24"/>
          <w:lang w:val="en-US"/>
        </w:rPr>
        <w:t xml:space="preserve">ex-post </w:t>
      </w:r>
      <w:r w:rsidRPr="000B70BB">
        <w:rPr>
          <w:rFonts w:ascii="Times New Roman" w:hAnsi="Times New Roman" w:cs="Times New Roman"/>
          <w:sz w:val="24"/>
          <w:szCs w:val="24"/>
        </w:rPr>
        <w:t xml:space="preserve">пазарна регулација може да ја намали чистата загуба во благосостојбата (deadweight welfare loss) од злоупотребата на монополската моќ на пазарот, и консеквентно со тоа да придонесе за подобрување на пазарните перформанси на фирмите, споредено со ситуациите кога отсуствува примената на ваквата политика. </w:t>
      </w:r>
      <w:r w:rsidR="00B710AF" w:rsidRPr="000B70BB">
        <w:rPr>
          <w:rFonts w:ascii="Times New Roman" w:hAnsi="Times New Roman" w:cs="Times New Roman"/>
          <w:sz w:val="24"/>
          <w:szCs w:val="24"/>
        </w:rPr>
        <w:t xml:space="preserve">Hüschelrath (2008) </w:t>
      </w:r>
      <w:r w:rsidR="00B710AF">
        <w:rPr>
          <w:rFonts w:ascii="Times New Roman" w:hAnsi="Times New Roman" w:cs="Times New Roman"/>
          <w:sz w:val="24"/>
          <w:szCs w:val="24"/>
        </w:rPr>
        <w:t>укажува</w:t>
      </w:r>
      <w:r w:rsidR="00B710AF" w:rsidRPr="00B710AF">
        <w:rPr>
          <w:rFonts w:ascii="Times New Roman" w:hAnsi="Times New Roman" w:cs="Times New Roman"/>
          <w:sz w:val="24"/>
          <w:szCs w:val="24"/>
        </w:rPr>
        <w:t xml:space="preserve"> дека загубите во општествената благосостојба во САД  се движат од 3,96% до 13,14% од БДП, во Велика Британија од 3,86% до 7,20%, во Франција производната неефикасност креира загуби 5,18% од БДП</w:t>
      </w:r>
      <w:r w:rsidR="00B710AF">
        <w:rPr>
          <w:rFonts w:ascii="Times New Roman" w:hAnsi="Times New Roman" w:cs="Times New Roman"/>
          <w:sz w:val="24"/>
          <w:szCs w:val="24"/>
        </w:rPr>
        <w:t xml:space="preserve">. </w:t>
      </w:r>
      <w:r w:rsidRPr="000B70BB">
        <w:rPr>
          <w:rFonts w:ascii="Times New Roman" w:hAnsi="Times New Roman" w:cs="Times New Roman"/>
          <w:sz w:val="24"/>
          <w:szCs w:val="24"/>
        </w:rPr>
        <w:t>Geroski (2006),</w:t>
      </w:r>
      <w:r w:rsidRPr="00FE7451">
        <w:rPr>
          <w:rFonts w:ascii="Times New Roman" w:hAnsi="Times New Roman" w:cs="Times New Roman"/>
          <w:sz w:val="24"/>
          <w:szCs w:val="24"/>
        </w:rPr>
        <w:t xml:space="preserve"> во своите анализи укажува на фактот дека земјите кои практикуваат порелаксирани форми за заштита на конкуренцијата</w:t>
      </w:r>
      <w:r>
        <w:rPr>
          <w:rFonts w:ascii="Times New Roman" w:hAnsi="Times New Roman" w:cs="Times New Roman"/>
          <w:sz w:val="24"/>
          <w:szCs w:val="24"/>
        </w:rPr>
        <w:t xml:space="preserve"> и регулација на пазрите</w:t>
      </w:r>
      <w:r w:rsidRPr="00FE7451">
        <w:rPr>
          <w:rFonts w:ascii="Times New Roman" w:hAnsi="Times New Roman" w:cs="Times New Roman"/>
          <w:sz w:val="24"/>
          <w:szCs w:val="24"/>
        </w:rPr>
        <w:t xml:space="preserve"> имаат повисоки пазарни цени, во споредба со земјите кои имаат активна политика за заштита на конкуренцијата.</w:t>
      </w:r>
      <w:r w:rsidR="00B710AF" w:rsidRPr="00B710AF">
        <w:rPr>
          <w:rFonts w:ascii="Trebuchet MS" w:eastAsia="+mn-ea" w:hAnsi="Trebuchet MS" w:cs="+mn-cs"/>
          <w:color w:val="FF0000"/>
          <w:kern w:val="24"/>
          <w:sz w:val="36"/>
          <w:szCs w:val="36"/>
        </w:rPr>
        <w:t xml:space="preserve"> </w:t>
      </w:r>
      <w:r w:rsidR="00375959">
        <w:rPr>
          <w:rFonts w:ascii="Times New Roman" w:hAnsi="Times New Roman" w:cs="Times New Roman"/>
          <w:sz w:val="24"/>
          <w:szCs w:val="24"/>
        </w:rPr>
        <w:t xml:space="preserve">Ефикасната </w:t>
      </w:r>
      <w:r w:rsidR="00375959">
        <w:rPr>
          <w:rFonts w:ascii="Times New Roman" w:hAnsi="Times New Roman" w:cs="Times New Roman"/>
          <w:sz w:val="24"/>
          <w:szCs w:val="24"/>
          <w:lang w:val="en-US"/>
        </w:rPr>
        <w:t xml:space="preserve">ex-ante </w:t>
      </w:r>
      <w:r w:rsidR="00375959">
        <w:rPr>
          <w:rFonts w:ascii="Times New Roman" w:hAnsi="Times New Roman" w:cs="Times New Roman"/>
          <w:sz w:val="24"/>
          <w:szCs w:val="24"/>
        </w:rPr>
        <w:t xml:space="preserve">и </w:t>
      </w:r>
      <w:r w:rsidR="00375959">
        <w:rPr>
          <w:rFonts w:ascii="Times New Roman" w:hAnsi="Times New Roman" w:cs="Times New Roman"/>
          <w:sz w:val="24"/>
          <w:szCs w:val="24"/>
          <w:lang w:val="en-US"/>
        </w:rPr>
        <w:t>ex-post</w:t>
      </w:r>
      <w:r w:rsidRPr="00FE7451">
        <w:rPr>
          <w:rFonts w:ascii="Times New Roman" w:hAnsi="Times New Roman" w:cs="Times New Roman"/>
          <w:sz w:val="24"/>
          <w:szCs w:val="24"/>
        </w:rPr>
        <w:t xml:space="preserve"> </w:t>
      </w:r>
      <w:r w:rsidR="00375959">
        <w:rPr>
          <w:rFonts w:ascii="Times New Roman" w:hAnsi="Times New Roman" w:cs="Times New Roman"/>
          <w:sz w:val="24"/>
          <w:szCs w:val="24"/>
        </w:rPr>
        <w:t xml:space="preserve">регулација </w:t>
      </w:r>
      <w:r w:rsidRPr="00FE7451">
        <w:rPr>
          <w:rFonts w:ascii="Times New Roman" w:hAnsi="Times New Roman" w:cs="Times New Roman"/>
          <w:sz w:val="24"/>
          <w:szCs w:val="24"/>
        </w:rPr>
        <w:t>помага</w:t>
      </w:r>
      <w:r w:rsidR="00375959">
        <w:rPr>
          <w:rFonts w:ascii="Times New Roman" w:hAnsi="Times New Roman" w:cs="Times New Roman"/>
          <w:sz w:val="24"/>
          <w:szCs w:val="24"/>
        </w:rPr>
        <w:t>ат</w:t>
      </w:r>
      <w:r w:rsidRPr="00FE7451">
        <w:rPr>
          <w:rFonts w:ascii="Times New Roman" w:hAnsi="Times New Roman" w:cs="Times New Roman"/>
          <w:sz w:val="24"/>
          <w:szCs w:val="24"/>
        </w:rPr>
        <w:t xml:space="preserve"> да се подобрат перформансите на фирмите, индустриските сектори и на економијата во целост. Секоја национална економија која има за цел да ја подобри  надворешната конкурентност на домашните фирми, мора да обезбеди услови за доследна примена на политиката за заштита на конкуренцијата. Добар пример за ова е искуството со ирската економија. Во периодот од 1949 до 1961 просечните стапки на раст на БНП на оваа економија во просек биле 1,9% годишно. Ова е период кога ирската економија и фирмите биле под силно влијание на мерките на протекционистичката политика. Додека пак во периодот од 1961 до 1978 година, кога протекционистичката политика е заменета со активна политика за поттикнување и заштита на конкуренцијата, просечните годишни стапки на раст на БНП изнесуваат околу 4.1% ( Purcell и Fox, 2009). Друг пример, каде отсуството на активна политика за заштита на конкуренцијата и промовирањето на протекционизмот ја зголемува економската неефикасност е примерот со јапонската економија во текот на 1990-те години. Тоа е период кога јапонските компании го губеа </w:t>
      </w:r>
      <w:r w:rsidRPr="00FE7451">
        <w:rPr>
          <w:rFonts w:ascii="Times New Roman" w:hAnsi="Times New Roman" w:cs="Times New Roman"/>
          <w:sz w:val="24"/>
          <w:szCs w:val="24"/>
        </w:rPr>
        <w:lastRenderedPageBreak/>
        <w:t>здивот во конкурентската борба на меѓународниот пазар, а домашната економија беше високо заштитена од надворешната конкуренција</w:t>
      </w:r>
      <w:r w:rsidR="00375959">
        <w:rPr>
          <w:rFonts w:ascii="Times New Roman" w:hAnsi="Times New Roman" w:cs="Times New Roman"/>
          <w:sz w:val="24"/>
          <w:szCs w:val="24"/>
        </w:rPr>
        <w:t xml:space="preserve"> (Мамучевска, 2013)</w:t>
      </w:r>
      <w:r w:rsidRPr="00FE7451">
        <w:rPr>
          <w:rFonts w:ascii="Times New Roman" w:hAnsi="Times New Roman" w:cs="Times New Roman"/>
          <w:sz w:val="24"/>
          <w:szCs w:val="24"/>
        </w:rPr>
        <w:t>.</w:t>
      </w:r>
    </w:p>
    <w:p w:rsidR="00D14C91" w:rsidRPr="00DA4062" w:rsidRDefault="00D14C91" w:rsidP="00AA5D08">
      <w:pPr>
        <w:jc w:val="both"/>
        <w:rPr>
          <w:rFonts w:ascii="Times New Roman" w:hAnsi="Times New Roman" w:cs="Times New Roman"/>
          <w:sz w:val="24"/>
          <w:szCs w:val="24"/>
        </w:rPr>
      </w:pPr>
      <w:r w:rsidRPr="00DA4062">
        <w:rPr>
          <w:rFonts w:ascii="Times New Roman" w:hAnsi="Times New Roman" w:cs="Times New Roman"/>
          <w:sz w:val="24"/>
          <w:szCs w:val="24"/>
        </w:rPr>
        <w:t xml:space="preserve">Сумирајќи го сето погоре кажано, </w:t>
      </w:r>
      <w:r w:rsidR="00DA4062" w:rsidRPr="00DA4062">
        <w:rPr>
          <w:rFonts w:ascii="Times New Roman" w:hAnsi="Times New Roman" w:cs="Times New Roman"/>
          <w:sz w:val="24"/>
          <w:szCs w:val="24"/>
        </w:rPr>
        <w:t>постоење на ефикасни регулаторни институции</w:t>
      </w:r>
      <w:r w:rsidRPr="00DA4062">
        <w:rPr>
          <w:rFonts w:ascii="Times New Roman" w:hAnsi="Times New Roman" w:cs="Times New Roman"/>
          <w:sz w:val="24"/>
          <w:szCs w:val="24"/>
        </w:rPr>
        <w:t xml:space="preserve"> е од есенцијално значење за секоја економија која има за цел </w:t>
      </w:r>
      <w:r w:rsidR="00DA4062" w:rsidRPr="00DA4062">
        <w:rPr>
          <w:rFonts w:ascii="Times New Roman" w:hAnsi="Times New Roman" w:cs="Times New Roman"/>
          <w:sz w:val="24"/>
          <w:szCs w:val="24"/>
        </w:rPr>
        <w:t xml:space="preserve"> да ги поттикнува фирмите да ја зголемуваат нивната продуктивност и да ја </w:t>
      </w:r>
      <w:r w:rsidRPr="00DA4062">
        <w:rPr>
          <w:rFonts w:ascii="Times New Roman" w:hAnsi="Times New Roman" w:cs="Times New Roman"/>
          <w:sz w:val="24"/>
          <w:szCs w:val="24"/>
        </w:rPr>
        <w:t>јакне својата позиција на меѓународните пазари, како еден од условите за остварување на поголеми стапки на економски раст.</w:t>
      </w:r>
    </w:p>
    <w:p w:rsidR="00824FE9" w:rsidRDefault="00676126" w:rsidP="005D1186">
      <w:pPr>
        <w:jc w:val="both"/>
        <w:rPr>
          <w:rFonts w:ascii="Times New Roman" w:hAnsi="Times New Roman" w:cs="Times New Roman"/>
          <w:b/>
          <w:sz w:val="24"/>
          <w:szCs w:val="24"/>
        </w:rPr>
      </w:pPr>
      <w:r w:rsidRPr="006C2FC2">
        <w:rPr>
          <w:rFonts w:ascii="Times New Roman" w:hAnsi="Times New Roman" w:cs="Times New Roman"/>
          <w:b/>
          <w:sz w:val="24"/>
          <w:szCs w:val="24"/>
        </w:rPr>
        <w:t>3. Состојби и проблеми во развојот на</w:t>
      </w:r>
      <w:r w:rsidR="00601B7E" w:rsidRPr="006C2FC2">
        <w:rPr>
          <w:rFonts w:ascii="Times New Roman" w:hAnsi="Times New Roman" w:cs="Times New Roman"/>
          <w:b/>
          <w:sz w:val="24"/>
          <w:szCs w:val="24"/>
        </w:rPr>
        <w:t xml:space="preserve"> економската</w:t>
      </w:r>
      <w:r w:rsidRPr="006C2FC2">
        <w:rPr>
          <w:rFonts w:ascii="Times New Roman" w:hAnsi="Times New Roman" w:cs="Times New Roman"/>
          <w:b/>
          <w:sz w:val="24"/>
          <w:szCs w:val="24"/>
        </w:rPr>
        <w:t xml:space="preserve"> </w:t>
      </w:r>
      <w:r w:rsidR="00601B7E" w:rsidRPr="006C2FC2">
        <w:rPr>
          <w:rFonts w:ascii="Times New Roman" w:hAnsi="Times New Roman" w:cs="Times New Roman"/>
          <w:b/>
          <w:sz w:val="24"/>
          <w:szCs w:val="24"/>
        </w:rPr>
        <w:t>(</w:t>
      </w:r>
      <w:r w:rsidRPr="009B1361">
        <w:rPr>
          <w:rFonts w:ascii="Times New Roman" w:hAnsi="Times New Roman" w:cs="Times New Roman"/>
          <w:b/>
          <w:sz w:val="24"/>
          <w:szCs w:val="24"/>
          <w:lang w:val="en-US"/>
        </w:rPr>
        <w:t>ex-ante</w:t>
      </w:r>
      <w:r w:rsidR="00601B7E" w:rsidRPr="009B1361">
        <w:rPr>
          <w:rFonts w:ascii="Times New Roman" w:hAnsi="Times New Roman" w:cs="Times New Roman"/>
          <w:b/>
          <w:sz w:val="24"/>
          <w:szCs w:val="24"/>
        </w:rPr>
        <w:t>)</w:t>
      </w:r>
      <w:r w:rsidRPr="009B1361">
        <w:rPr>
          <w:rFonts w:ascii="Times New Roman" w:hAnsi="Times New Roman" w:cs="Times New Roman"/>
          <w:b/>
          <w:sz w:val="24"/>
          <w:szCs w:val="24"/>
        </w:rPr>
        <w:t xml:space="preserve"> и</w:t>
      </w:r>
      <w:r w:rsidRPr="009B1361">
        <w:rPr>
          <w:rFonts w:ascii="Times New Roman" w:hAnsi="Times New Roman" w:cs="Times New Roman"/>
          <w:b/>
          <w:sz w:val="24"/>
          <w:szCs w:val="24"/>
          <w:lang w:val="en-US"/>
        </w:rPr>
        <w:t xml:space="preserve"> </w:t>
      </w:r>
      <w:r w:rsidR="00601B7E" w:rsidRPr="009B1361">
        <w:rPr>
          <w:rFonts w:ascii="Times New Roman" w:hAnsi="Times New Roman" w:cs="Times New Roman"/>
          <w:b/>
          <w:sz w:val="24"/>
          <w:szCs w:val="24"/>
        </w:rPr>
        <w:t xml:space="preserve"> пазарната</w:t>
      </w:r>
      <w:r w:rsidR="00601B7E" w:rsidRPr="009B1361">
        <w:rPr>
          <w:rFonts w:ascii="Times New Roman" w:hAnsi="Times New Roman" w:cs="Times New Roman"/>
          <w:b/>
          <w:sz w:val="24"/>
          <w:szCs w:val="24"/>
          <w:lang w:val="en-US"/>
        </w:rPr>
        <w:t xml:space="preserve"> </w:t>
      </w:r>
      <w:r w:rsidR="00601B7E" w:rsidRPr="009B1361">
        <w:rPr>
          <w:rFonts w:ascii="Times New Roman" w:hAnsi="Times New Roman" w:cs="Times New Roman"/>
          <w:b/>
          <w:sz w:val="24"/>
          <w:szCs w:val="24"/>
        </w:rPr>
        <w:t>(</w:t>
      </w:r>
      <w:r w:rsidRPr="009B1361">
        <w:rPr>
          <w:rFonts w:ascii="Times New Roman" w:hAnsi="Times New Roman" w:cs="Times New Roman"/>
          <w:b/>
          <w:sz w:val="24"/>
          <w:szCs w:val="24"/>
          <w:lang w:val="en-US"/>
        </w:rPr>
        <w:t>ex-post</w:t>
      </w:r>
      <w:r w:rsidR="00601B7E" w:rsidRPr="009B1361">
        <w:rPr>
          <w:rFonts w:ascii="Times New Roman" w:hAnsi="Times New Roman" w:cs="Times New Roman"/>
          <w:b/>
          <w:sz w:val="24"/>
          <w:szCs w:val="24"/>
        </w:rPr>
        <w:t>)</w:t>
      </w:r>
      <w:r w:rsidRPr="009B1361">
        <w:rPr>
          <w:rFonts w:ascii="Times New Roman" w:hAnsi="Times New Roman" w:cs="Times New Roman"/>
          <w:b/>
          <w:sz w:val="24"/>
          <w:szCs w:val="24"/>
        </w:rPr>
        <w:t xml:space="preserve"> регулација</w:t>
      </w:r>
    </w:p>
    <w:p w:rsidR="009B1361" w:rsidRDefault="005D2052" w:rsidP="005D1186">
      <w:pPr>
        <w:jc w:val="both"/>
        <w:rPr>
          <w:rFonts w:ascii="Times New Roman" w:hAnsi="Times New Roman" w:cs="Times New Roman"/>
          <w:sz w:val="24"/>
          <w:szCs w:val="24"/>
        </w:rPr>
      </w:pPr>
      <w:r>
        <w:rPr>
          <w:rFonts w:ascii="Times New Roman" w:hAnsi="Times New Roman" w:cs="Times New Roman"/>
          <w:sz w:val="24"/>
          <w:szCs w:val="24"/>
        </w:rPr>
        <w:t>Освен во сегментот на регулацијата на финансискиот сектор, во останатите домени на економска и пазарна регулација, најголем дел од регулаторните институции продуцираат незадоволителни резултати. Причините за ваквата ситуација се повеќестрани, но во основата на проблемот лежи слабата политичка волја за изградба на ефикасни регулаторни институции, и за жал с</w:t>
      </w:r>
      <w:r w:rsidR="006B1749">
        <w:rPr>
          <w:rFonts w:ascii="Times New Roman" w:hAnsi="Times New Roman" w:cs="Times New Roman"/>
          <w:sz w:val="24"/>
          <w:szCs w:val="24"/>
        </w:rPr>
        <w:t xml:space="preserve">ѐ уште ниската и неразвиена побарувачка за </w:t>
      </w:r>
      <w:r w:rsidR="00B825F1">
        <w:rPr>
          <w:rFonts w:ascii="Times New Roman" w:hAnsi="Times New Roman" w:cs="Times New Roman"/>
          <w:sz w:val="24"/>
          <w:szCs w:val="24"/>
        </w:rPr>
        <w:t>’</w:t>
      </w:r>
      <w:r w:rsidR="006B1749">
        <w:rPr>
          <w:rFonts w:ascii="Times New Roman" w:hAnsi="Times New Roman" w:cs="Times New Roman"/>
          <w:sz w:val="24"/>
          <w:szCs w:val="24"/>
        </w:rPr>
        <w:t>подобри пазарни услови</w:t>
      </w:r>
      <w:r w:rsidR="00B825F1">
        <w:rPr>
          <w:rFonts w:ascii="Times New Roman" w:hAnsi="Times New Roman" w:cs="Times New Roman"/>
          <w:sz w:val="24"/>
          <w:szCs w:val="24"/>
        </w:rPr>
        <w:t>’</w:t>
      </w:r>
      <w:r w:rsidR="006B1749">
        <w:rPr>
          <w:rFonts w:ascii="Times New Roman" w:hAnsi="Times New Roman" w:cs="Times New Roman"/>
          <w:sz w:val="24"/>
          <w:szCs w:val="24"/>
        </w:rPr>
        <w:t xml:space="preserve"> и поголема конкуренција од страна на бизнис секторот и потрошувачите.</w:t>
      </w:r>
    </w:p>
    <w:p w:rsidR="004717CD" w:rsidRDefault="004717CD" w:rsidP="005D1186">
      <w:pPr>
        <w:jc w:val="both"/>
        <w:rPr>
          <w:rFonts w:ascii="Times New Roman" w:hAnsi="Times New Roman" w:cs="Times New Roman"/>
          <w:sz w:val="24"/>
          <w:szCs w:val="24"/>
        </w:rPr>
      </w:pPr>
      <w:r>
        <w:rPr>
          <w:rFonts w:ascii="Times New Roman" w:hAnsi="Times New Roman" w:cs="Times New Roman"/>
          <w:sz w:val="24"/>
          <w:szCs w:val="24"/>
        </w:rPr>
        <w:t>Теоријата го потврдува каузалитетот дека поинтенизвната пазарна конкуренција ги јакне адаптибилните способности на компаниите, ги мотивира да произведуваат и нудат производи на пазарот по конкурентни услови, и со тоа истовремено се зголемува и производителскиот и потрошувачкиот вишок. (график. 1). Во сите декларативни документи и на сите стручни собири секогаш заложбите на владата, на бизнис заедницата се за поголема пазарна конкуренција.</w:t>
      </w:r>
    </w:p>
    <w:p w:rsidR="004717CD" w:rsidRPr="004717CD" w:rsidRDefault="004717CD" w:rsidP="004717CD">
      <w:pPr>
        <w:jc w:val="center"/>
        <w:rPr>
          <w:rFonts w:ascii="Times New Roman" w:hAnsi="Times New Roman" w:cs="Times New Roman"/>
          <w:b/>
          <w:sz w:val="24"/>
          <w:szCs w:val="24"/>
        </w:rPr>
      </w:pPr>
      <w:r w:rsidRPr="004717CD">
        <w:rPr>
          <w:rFonts w:ascii="Times New Roman" w:hAnsi="Times New Roman" w:cs="Times New Roman"/>
          <w:b/>
          <w:sz w:val="24"/>
          <w:szCs w:val="24"/>
        </w:rPr>
        <w:t>График 1: Извори на ’побарувачка за поголема конкуренција’</w:t>
      </w:r>
    </w:p>
    <w:p w:rsidR="006B1749" w:rsidRDefault="004717CD" w:rsidP="005D1186">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106838" cy="2256526"/>
            <wp:effectExtent l="0" t="57150" r="0" b="869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717CD" w:rsidRDefault="004717CD" w:rsidP="005D1186">
      <w:pPr>
        <w:jc w:val="both"/>
        <w:rPr>
          <w:rFonts w:ascii="Times New Roman" w:hAnsi="Times New Roman" w:cs="Times New Roman"/>
          <w:sz w:val="24"/>
          <w:szCs w:val="24"/>
        </w:rPr>
      </w:pPr>
      <w:r>
        <w:rPr>
          <w:rFonts w:ascii="Times New Roman" w:hAnsi="Times New Roman" w:cs="Times New Roman"/>
          <w:sz w:val="24"/>
          <w:szCs w:val="24"/>
        </w:rPr>
        <w:t xml:space="preserve">За жал, реалните состојби во нашата економија се суштински по различни од теоретските препораки и декларативните заложби. Бизнис секторот преку различни </w:t>
      </w:r>
      <w:r w:rsidR="008A64F7">
        <w:rPr>
          <w:rFonts w:ascii="Times New Roman" w:hAnsi="Times New Roman" w:cs="Times New Roman"/>
          <w:sz w:val="24"/>
          <w:szCs w:val="24"/>
        </w:rPr>
        <w:t xml:space="preserve">форми на ’меко преговарање’ постојано добива за себе ’подобри услови’ преточени во </w:t>
      </w:r>
      <w:r w:rsidR="00CF50A5">
        <w:rPr>
          <w:rFonts w:ascii="Times New Roman" w:hAnsi="Times New Roman" w:cs="Times New Roman"/>
          <w:sz w:val="24"/>
          <w:szCs w:val="24"/>
        </w:rPr>
        <w:t>зајакнати</w:t>
      </w:r>
      <w:r w:rsidR="008A64F7">
        <w:rPr>
          <w:rFonts w:ascii="Times New Roman" w:hAnsi="Times New Roman" w:cs="Times New Roman"/>
          <w:sz w:val="24"/>
          <w:szCs w:val="24"/>
        </w:rPr>
        <w:t xml:space="preserve"> бариери за влез на нови конкуренти на пазарот, во најмала рака зачувување на постојната пазарна позиција или пак нејзино зајакнување. Во </w:t>
      </w:r>
      <w:r w:rsidR="00CF50A5">
        <w:rPr>
          <w:rFonts w:ascii="Times New Roman" w:hAnsi="Times New Roman" w:cs="Times New Roman"/>
          <w:sz w:val="24"/>
          <w:szCs w:val="24"/>
        </w:rPr>
        <w:t xml:space="preserve">таа насока говорат и </w:t>
      </w:r>
      <w:r w:rsidR="00CF50A5">
        <w:rPr>
          <w:rFonts w:ascii="Times New Roman" w:hAnsi="Times New Roman" w:cs="Times New Roman"/>
          <w:sz w:val="24"/>
          <w:szCs w:val="24"/>
        </w:rPr>
        <w:lastRenderedPageBreak/>
        <w:t xml:space="preserve">сознанијата од </w:t>
      </w:r>
      <w:r w:rsidR="008A64F7">
        <w:rPr>
          <w:rFonts w:ascii="Times New Roman" w:hAnsi="Times New Roman" w:cs="Times New Roman"/>
          <w:sz w:val="24"/>
          <w:szCs w:val="24"/>
        </w:rPr>
        <w:t xml:space="preserve">анализата на </w:t>
      </w:r>
      <w:r w:rsidR="008A64F7">
        <w:rPr>
          <w:rFonts w:ascii="Times New Roman" w:hAnsi="Times New Roman" w:cs="Times New Roman"/>
          <w:sz w:val="24"/>
          <w:szCs w:val="24"/>
          <w:lang w:val="en-US"/>
        </w:rPr>
        <w:t>World Bank (2017)</w:t>
      </w:r>
      <w:r w:rsidR="008A64F7">
        <w:rPr>
          <w:rFonts w:ascii="Times New Roman" w:hAnsi="Times New Roman" w:cs="Times New Roman"/>
          <w:sz w:val="24"/>
          <w:szCs w:val="24"/>
        </w:rPr>
        <w:t xml:space="preserve"> </w:t>
      </w:r>
      <w:r w:rsidR="00CF50A5">
        <w:rPr>
          <w:rFonts w:ascii="Times New Roman" w:hAnsi="Times New Roman" w:cs="Times New Roman"/>
          <w:sz w:val="24"/>
          <w:szCs w:val="24"/>
        </w:rPr>
        <w:t xml:space="preserve">дека </w:t>
      </w:r>
      <w:r w:rsidR="008A64F7">
        <w:rPr>
          <w:rFonts w:ascii="Times New Roman" w:hAnsi="Times New Roman" w:cs="Times New Roman"/>
          <w:sz w:val="24"/>
          <w:szCs w:val="24"/>
        </w:rPr>
        <w:t>во периодот 2009-2013 година постои евидентен тренд на зголемување на пазарната концентрација и јакнење на доминантната пазарна моќ на фирмите.</w:t>
      </w:r>
      <w:r w:rsidR="00CF50A5">
        <w:rPr>
          <w:rFonts w:ascii="Times New Roman" w:hAnsi="Times New Roman" w:cs="Times New Roman"/>
          <w:sz w:val="24"/>
          <w:szCs w:val="24"/>
        </w:rPr>
        <w:t xml:space="preserve"> Во зачувување на своите политички позиции, владејачките партии не пројавуваат отпор на притисокот од методите на ’мекото преговарање’. Секторот на домаќинствата т.е. потрошувачите, како поединечни учесници на пазарот се со мала дури и незначителна моќ во борбата за своите потрошувачки права и барањата за поголема и фер пазарна конкуренција. Во овој сет на регулаторни институции не постои посебна институција која преку интегриран пристап ќе ги штити интересите и правата на потрошувачите</w:t>
      </w:r>
      <w:r w:rsidR="00CF50A5">
        <w:rPr>
          <w:rStyle w:val="FootnoteReference"/>
          <w:rFonts w:ascii="Times New Roman" w:hAnsi="Times New Roman" w:cs="Times New Roman"/>
          <w:sz w:val="24"/>
          <w:szCs w:val="24"/>
        </w:rPr>
        <w:footnoteReference w:id="1"/>
      </w:r>
      <w:r w:rsidR="00CF50A5">
        <w:rPr>
          <w:rFonts w:ascii="Times New Roman" w:hAnsi="Times New Roman" w:cs="Times New Roman"/>
          <w:sz w:val="24"/>
          <w:szCs w:val="24"/>
        </w:rPr>
        <w:t>. И од тука се заклучува дека трите столбови кои треба да ја поддржуваат пазарната конкуренција, во македонската економија се структурно нефункционални. Во извештајот за Глобалната конкурентност</w:t>
      </w:r>
      <w:r w:rsidR="00CF50A5">
        <w:rPr>
          <w:rFonts w:ascii="Times New Roman" w:hAnsi="Times New Roman" w:cs="Times New Roman"/>
          <w:sz w:val="24"/>
          <w:szCs w:val="24"/>
          <w:lang w:val="en-US"/>
        </w:rPr>
        <w:t xml:space="preserve"> </w:t>
      </w:r>
      <w:r w:rsidR="00CF50A5">
        <w:rPr>
          <w:rFonts w:ascii="Times New Roman" w:hAnsi="Times New Roman" w:cs="Times New Roman"/>
          <w:sz w:val="24"/>
          <w:szCs w:val="24"/>
        </w:rPr>
        <w:t>за (</w:t>
      </w:r>
      <w:r w:rsidR="00CF50A5">
        <w:rPr>
          <w:rFonts w:ascii="Times New Roman" w:hAnsi="Times New Roman" w:cs="Times New Roman"/>
          <w:sz w:val="24"/>
          <w:szCs w:val="24"/>
          <w:lang w:val="en-US"/>
        </w:rPr>
        <w:t>World Economic Forum, 2018)</w:t>
      </w:r>
      <w:r w:rsidR="00CF50A5">
        <w:rPr>
          <w:rFonts w:ascii="Times New Roman" w:hAnsi="Times New Roman" w:cs="Times New Roman"/>
          <w:sz w:val="24"/>
          <w:szCs w:val="24"/>
        </w:rPr>
        <w:t xml:space="preserve"> во делот за </w:t>
      </w:r>
      <w:r w:rsidR="00047A7A">
        <w:rPr>
          <w:rFonts w:ascii="Times New Roman" w:hAnsi="Times New Roman" w:cs="Times New Roman"/>
          <w:sz w:val="24"/>
          <w:szCs w:val="24"/>
        </w:rPr>
        <w:t xml:space="preserve">пазарна структура и конкуренција, не се покажуваат подобрувања во овој сегмент во економијата. Во таа насока се и наодите на </w:t>
      </w:r>
      <w:r w:rsidR="00047A7A" w:rsidRPr="00CF50A5">
        <w:rPr>
          <w:rFonts w:ascii="Times New Roman" w:hAnsi="Times New Roman" w:cs="Times New Roman"/>
          <w:sz w:val="24"/>
          <w:szCs w:val="24"/>
          <w:lang w:val="en-US"/>
        </w:rPr>
        <w:t xml:space="preserve">Sanfey </w:t>
      </w:r>
      <w:r w:rsidR="00047A7A">
        <w:rPr>
          <w:rFonts w:ascii="Times New Roman" w:hAnsi="Times New Roman" w:cs="Times New Roman"/>
          <w:sz w:val="24"/>
          <w:szCs w:val="24"/>
        </w:rPr>
        <w:t xml:space="preserve">и </w:t>
      </w:r>
      <w:r w:rsidR="00047A7A" w:rsidRPr="00CF50A5">
        <w:rPr>
          <w:rFonts w:ascii="Times New Roman" w:hAnsi="Times New Roman" w:cs="Times New Roman"/>
          <w:sz w:val="24"/>
          <w:szCs w:val="24"/>
          <w:lang w:val="en-US"/>
        </w:rPr>
        <w:t xml:space="preserve"> Milatovic (2018)</w:t>
      </w:r>
      <w:r w:rsidR="00047A7A">
        <w:rPr>
          <w:rFonts w:ascii="Times New Roman" w:hAnsi="Times New Roman" w:cs="Times New Roman"/>
          <w:sz w:val="24"/>
          <w:szCs w:val="24"/>
        </w:rPr>
        <w:t xml:space="preserve"> кои укажуваат дека еден од клучните фактори во опструкцијата во развојот на одржлива пазарна економија се недоволната пазарна конкуренција и несоодветната пазарна регулација. Во оваа, насока нема да се згреши доколку не се истакне и следниот факт, дека лошата форма на регулација на пазарите е еден вид на ’бела’ институционална корупција. </w:t>
      </w:r>
      <w:r w:rsidR="00047A7A">
        <w:rPr>
          <w:rFonts w:ascii="Times New Roman" w:hAnsi="Times New Roman" w:cs="Times New Roman"/>
          <w:sz w:val="24"/>
          <w:szCs w:val="24"/>
          <w:lang w:val="en-US"/>
        </w:rPr>
        <w:t xml:space="preserve">Motta </w:t>
      </w:r>
      <w:r w:rsidR="00047A7A">
        <w:rPr>
          <w:rFonts w:ascii="Times New Roman" w:hAnsi="Times New Roman" w:cs="Times New Roman"/>
          <w:sz w:val="24"/>
          <w:szCs w:val="24"/>
        </w:rPr>
        <w:t>(2004) покажува дека негативните ефекти од ’</w:t>
      </w:r>
      <w:r w:rsidR="00047A7A">
        <w:rPr>
          <w:rFonts w:ascii="Times New Roman" w:hAnsi="Times New Roman" w:cs="Times New Roman"/>
          <w:sz w:val="24"/>
          <w:szCs w:val="24"/>
          <w:lang w:val="en-US"/>
        </w:rPr>
        <w:t>rent-seeking activitie</w:t>
      </w:r>
      <w:r w:rsidR="00047A7A">
        <w:rPr>
          <w:rFonts w:ascii="Times New Roman" w:hAnsi="Times New Roman" w:cs="Times New Roman"/>
          <w:sz w:val="24"/>
          <w:szCs w:val="24"/>
        </w:rPr>
        <w:t>’ (т.е. од лобирањата и финансиските стимулации кои фирмите ги нудат на креаторите на политиката) мултипликативно ги зголемува загубите во општествената благосостојба (загуби во динамичката ефикасност, зголемување на алокативната неефикасност и загуби во потрошувачкиот вишок).</w:t>
      </w:r>
    </w:p>
    <w:p w:rsidR="00047A7A" w:rsidRDefault="00FB34BB" w:rsidP="005D1186">
      <w:pPr>
        <w:jc w:val="both"/>
        <w:rPr>
          <w:rFonts w:ascii="Times New Roman" w:hAnsi="Times New Roman" w:cs="Times New Roman"/>
          <w:sz w:val="24"/>
          <w:szCs w:val="24"/>
        </w:rPr>
      </w:pPr>
      <w:r>
        <w:rPr>
          <w:rFonts w:ascii="Times New Roman" w:hAnsi="Times New Roman" w:cs="Times New Roman"/>
          <w:sz w:val="24"/>
          <w:szCs w:val="24"/>
        </w:rPr>
        <w:t xml:space="preserve">Оттука може да заклучиме дека во македонската економија пазарната регулација е неефикасна и креира значајни загуби во општествената благосостојба. Доколку се користи методот на споредбени цени меѓу ’цени во услови на активна регулација и заштита на конкуренцијата’  и ’цени во услови на отсуство или неефикасна регулација и заштита на конкуренцијата’  само како резултат на зголемените цени, загубите во општествената благосостојба се движат до 20% од БДП. Основен проблем во развојот на </w:t>
      </w:r>
      <w:r w:rsidR="006A2186">
        <w:rPr>
          <w:rFonts w:ascii="Times New Roman" w:hAnsi="Times New Roman" w:cs="Times New Roman"/>
          <w:sz w:val="24"/>
          <w:szCs w:val="24"/>
        </w:rPr>
        <w:t xml:space="preserve">ефикасни институции и соодветна </w:t>
      </w:r>
      <w:r w:rsidR="006A2186">
        <w:rPr>
          <w:rFonts w:ascii="Times New Roman" w:hAnsi="Times New Roman" w:cs="Times New Roman"/>
          <w:sz w:val="24"/>
          <w:szCs w:val="24"/>
          <w:lang w:val="en-US"/>
        </w:rPr>
        <w:t xml:space="preserve">ex-ante ex-post </w:t>
      </w:r>
      <w:r w:rsidR="006A2186">
        <w:rPr>
          <w:rFonts w:ascii="Times New Roman" w:hAnsi="Times New Roman" w:cs="Times New Roman"/>
          <w:sz w:val="24"/>
          <w:szCs w:val="24"/>
        </w:rPr>
        <w:t xml:space="preserve">пазарна регулација лежи во проблемот на независноста </w:t>
      </w:r>
      <w:r w:rsidR="0014344B">
        <w:rPr>
          <w:rFonts w:ascii="Times New Roman" w:hAnsi="Times New Roman" w:cs="Times New Roman"/>
          <w:sz w:val="24"/>
          <w:szCs w:val="24"/>
        </w:rPr>
        <w:t>на</w:t>
      </w:r>
      <w:r w:rsidR="006A2186">
        <w:rPr>
          <w:rFonts w:ascii="Times New Roman" w:hAnsi="Times New Roman" w:cs="Times New Roman"/>
          <w:sz w:val="24"/>
          <w:szCs w:val="24"/>
        </w:rPr>
        <w:t xml:space="preserve"> регулаторните институции. Користејќи </w:t>
      </w:r>
      <w:r w:rsidR="00694D8C">
        <w:rPr>
          <w:rFonts w:ascii="Times New Roman" w:hAnsi="Times New Roman" w:cs="Times New Roman"/>
          <w:sz w:val="24"/>
          <w:szCs w:val="24"/>
        </w:rPr>
        <w:t xml:space="preserve">ја методологијата на </w:t>
      </w:r>
      <w:r w:rsidR="00694D8C">
        <w:rPr>
          <w:rFonts w:ascii="Times New Roman" w:hAnsi="Times New Roman" w:cs="Times New Roman"/>
          <w:sz w:val="24"/>
          <w:szCs w:val="24"/>
          <w:lang w:val="en-US"/>
        </w:rPr>
        <w:t xml:space="preserve">OECD (2018) </w:t>
      </w:r>
      <w:r w:rsidR="00694D8C">
        <w:rPr>
          <w:rFonts w:ascii="Times New Roman" w:hAnsi="Times New Roman" w:cs="Times New Roman"/>
          <w:sz w:val="24"/>
          <w:szCs w:val="24"/>
        </w:rPr>
        <w:t>анализата на проблемот со независноста ќе биде направена преку петте димензии на независност на регулаторни тела:</w:t>
      </w:r>
    </w:p>
    <w:p w:rsidR="00FB03D4" w:rsidRPr="00FB03D4" w:rsidRDefault="00FB03D4" w:rsidP="00FB03D4">
      <w:pPr>
        <w:jc w:val="center"/>
        <w:rPr>
          <w:rFonts w:ascii="Times New Roman" w:hAnsi="Times New Roman" w:cs="Times New Roman"/>
          <w:b/>
          <w:sz w:val="24"/>
          <w:szCs w:val="24"/>
        </w:rPr>
      </w:pPr>
      <w:r w:rsidRPr="00FB03D4">
        <w:rPr>
          <w:rFonts w:ascii="Times New Roman" w:hAnsi="Times New Roman" w:cs="Times New Roman"/>
          <w:b/>
          <w:sz w:val="24"/>
          <w:szCs w:val="24"/>
        </w:rPr>
        <w:t>График 2: Петте димензии на независност на регулаторни институции</w:t>
      </w:r>
    </w:p>
    <w:p w:rsidR="00FB03D4" w:rsidRDefault="00FB03D4" w:rsidP="005D1186">
      <w:pPr>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294930" cy="1992702"/>
            <wp:effectExtent l="0" t="57150" r="20320" b="266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92047" w:rsidRDefault="00AD4006" w:rsidP="005D1186">
      <w:pPr>
        <w:jc w:val="both"/>
        <w:rPr>
          <w:rFonts w:ascii="Times New Roman" w:hAnsi="Times New Roman" w:cs="Times New Roman"/>
          <w:sz w:val="24"/>
          <w:szCs w:val="24"/>
        </w:rPr>
      </w:pPr>
      <w:r>
        <w:rPr>
          <w:rFonts w:ascii="Times New Roman" w:hAnsi="Times New Roman" w:cs="Times New Roman"/>
          <w:sz w:val="24"/>
          <w:szCs w:val="24"/>
        </w:rPr>
        <w:t xml:space="preserve">Во фокусот на нашата анализа се наоѓаат сет од </w:t>
      </w:r>
      <w:r w:rsidR="0057257E">
        <w:rPr>
          <w:rFonts w:ascii="Times New Roman" w:hAnsi="Times New Roman" w:cs="Times New Roman"/>
          <w:sz w:val="24"/>
          <w:szCs w:val="24"/>
        </w:rPr>
        <w:t xml:space="preserve">регулаторни институции од доменот на </w:t>
      </w:r>
      <w:r w:rsidR="0057257E">
        <w:rPr>
          <w:rFonts w:ascii="Times New Roman" w:hAnsi="Times New Roman" w:cs="Times New Roman"/>
          <w:sz w:val="24"/>
          <w:szCs w:val="24"/>
          <w:lang w:val="en-US"/>
        </w:rPr>
        <w:t xml:space="preserve">ex-ante </w:t>
      </w:r>
      <w:r w:rsidR="0057257E">
        <w:rPr>
          <w:rFonts w:ascii="Times New Roman" w:hAnsi="Times New Roman" w:cs="Times New Roman"/>
          <w:sz w:val="24"/>
          <w:szCs w:val="24"/>
        </w:rPr>
        <w:t xml:space="preserve">регулацијата (Агенција за електронски комуникации (АЕК), Агенција за аудио и аудио визуелни медиумски услуги (АВМУ), Агенција за пошти (АП), Регулаторна комисија за енергетика и водни услуги (РКЕ), и Агенција за регулирање на железничкиот сектор (АРЖС) и Комисијата за заштита на конкуренцијата (КЗК) надлежна за </w:t>
      </w:r>
      <w:r w:rsidR="0057257E">
        <w:rPr>
          <w:rFonts w:ascii="Times New Roman" w:hAnsi="Times New Roman" w:cs="Times New Roman"/>
          <w:sz w:val="24"/>
          <w:szCs w:val="24"/>
          <w:lang w:val="en-US"/>
        </w:rPr>
        <w:t xml:space="preserve">ex-post </w:t>
      </w:r>
      <w:r w:rsidR="0057257E">
        <w:rPr>
          <w:rFonts w:ascii="Times New Roman" w:hAnsi="Times New Roman" w:cs="Times New Roman"/>
          <w:sz w:val="24"/>
          <w:szCs w:val="24"/>
        </w:rPr>
        <w:t>регулацијата на пазарот.</w:t>
      </w:r>
      <w:r w:rsidR="00492047">
        <w:rPr>
          <w:rFonts w:ascii="Times New Roman" w:hAnsi="Times New Roman" w:cs="Times New Roman"/>
          <w:sz w:val="24"/>
          <w:szCs w:val="24"/>
        </w:rPr>
        <w:t xml:space="preserve"> </w:t>
      </w:r>
    </w:p>
    <w:p w:rsidR="009C346F" w:rsidRDefault="00492047" w:rsidP="005316F6">
      <w:pPr>
        <w:jc w:val="both"/>
        <w:rPr>
          <w:rFonts w:ascii="Times New Roman" w:hAnsi="Times New Roman" w:cs="Times New Roman"/>
          <w:sz w:val="24"/>
          <w:szCs w:val="24"/>
        </w:rPr>
      </w:pPr>
      <w:r>
        <w:rPr>
          <w:rFonts w:ascii="Times New Roman" w:hAnsi="Times New Roman" w:cs="Times New Roman"/>
          <w:sz w:val="24"/>
          <w:szCs w:val="24"/>
        </w:rPr>
        <w:t xml:space="preserve">Најголем дел од овие институции беа формирани уште во текот на 1990-те години како дирекции или управи во рамките на надлежните министерства. Подоцна со потпишувањето и стапувањето во сила на ССА со ЕУ, почна процесот на носење на нова законска рамка, со која овие институции се основаа и започнаа да работат како независни агенции. Како течеа законските изменувања и дополнувања, за сите нив беше карактеристично тоа што со новите законски одредби </w:t>
      </w:r>
      <w:r w:rsidR="00DE3B62">
        <w:rPr>
          <w:rFonts w:ascii="Times New Roman" w:hAnsi="Times New Roman" w:cs="Times New Roman"/>
          <w:sz w:val="24"/>
          <w:szCs w:val="24"/>
        </w:rPr>
        <w:t xml:space="preserve">формално </w:t>
      </w:r>
      <w:r>
        <w:rPr>
          <w:rFonts w:ascii="Times New Roman" w:hAnsi="Times New Roman" w:cs="Times New Roman"/>
          <w:sz w:val="24"/>
          <w:szCs w:val="24"/>
        </w:rPr>
        <w:t xml:space="preserve">се </w:t>
      </w:r>
      <w:r w:rsidR="00DE3B62">
        <w:rPr>
          <w:rFonts w:ascii="Times New Roman" w:hAnsi="Times New Roman" w:cs="Times New Roman"/>
          <w:sz w:val="24"/>
          <w:szCs w:val="24"/>
        </w:rPr>
        <w:t xml:space="preserve">зајакнувше независноста на институциите (пред сѐ независноста од извршната власт) (Мамучевска (2013) и Михајлова (2014)), </w:t>
      </w:r>
      <w:r w:rsidR="00364840">
        <w:rPr>
          <w:rFonts w:ascii="Times New Roman" w:hAnsi="Times New Roman" w:cs="Times New Roman"/>
          <w:sz w:val="24"/>
          <w:szCs w:val="24"/>
        </w:rPr>
        <w:t>се зајакнуваше правната извршност на нивните одлуки и решенија. Меѓутоа, сепак постојат одредени законски решенија со кои се ограничува оперативната независност на овие институции. На пр. во Законот за електронски комуникации (Сл. Весник на РМ бр. 23/2005, 188/2014, 44/2015, 193/2015, 11/2018,21/2018 и 98/19) се наложува АЕК да поднесува известување и побарува согласност од Министерството за Информатичко општество и администрација за вработување на нови кадри, понатаму вработените во агенцијата со законските измени добија третман на административни службеници, со што се наруши принципот на независност во оперативното делување на агенцијата</w:t>
      </w:r>
      <w:r w:rsidR="0014344B">
        <w:rPr>
          <w:rStyle w:val="FootnoteReference"/>
          <w:rFonts w:ascii="Times New Roman" w:hAnsi="Times New Roman" w:cs="Times New Roman"/>
          <w:sz w:val="24"/>
          <w:szCs w:val="24"/>
        </w:rPr>
        <w:footnoteReference w:id="2"/>
      </w:r>
      <w:r w:rsidR="00364840">
        <w:rPr>
          <w:rFonts w:ascii="Times New Roman" w:hAnsi="Times New Roman" w:cs="Times New Roman"/>
          <w:sz w:val="24"/>
          <w:szCs w:val="24"/>
        </w:rPr>
        <w:t xml:space="preserve">. Во однос на контролата </w:t>
      </w:r>
      <w:r w:rsidR="00CB5C5A">
        <w:rPr>
          <w:rFonts w:ascii="Times New Roman" w:hAnsi="Times New Roman" w:cs="Times New Roman"/>
          <w:sz w:val="24"/>
          <w:szCs w:val="24"/>
        </w:rPr>
        <w:t xml:space="preserve">на </w:t>
      </w:r>
      <w:r w:rsidR="005316F6">
        <w:rPr>
          <w:rFonts w:ascii="Times New Roman" w:hAnsi="Times New Roman" w:cs="Times New Roman"/>
          <w:sz w:val="24"/>
          <w:szCs w:val="24"/>
        </w:rPr>
        <w:t>работата на регулаторните институции, соодветните секторски закони предвидуваат формирање на независни комисии, кои имаат третман на надзор и контрола на работата на соодветните регулаторни институции. Иако законите определуваат критериуми за запазување на стручноста, експертско знаење и независност на составот на членовите, сепак овие принципи постојано се нарушуваат и во овие комисиски тела често пати завршуваат со избор на несоодветни кадри, одбрани пред сѐ по политички к</w:t>
      </w:r>
      <w:r w:rsidR="0014344B">
        <w:rPr>
          <w:rFonts w:ascii="Times New Roman" w:hAnsi="Times New Roman" w:cs="Times New Roman"/>
          <w:sz w:val="24"/>
          <w:szCs w:val="24"/>
        </w:rPr>
        <w:t>л</w:t>
      </w:r>
      <w:r w:rsidR="005316F6">
        <w:rPr>
          <w:rFonts w:ascii="Times New Roman" w:hAnsi="Times New Roman" w:cs="Times New Roman"/>
          <w:sz w:val="24"/>
          <w:szCs w:val="24"/>
        </w:rPr>
        <w:t xml:space="preserve">уч </w:t>
      </w:r>
      <w:r w:rsidR="005316F6">
        <w:rPr>
          <w:rFonts w:ascii="Times New Roman" w:hAnsi="Times New Roman" w:cs="Times New Roman"/>
          <w:sz w:val="24"/>
          <w:szCs w:val="24"/>
        </w:rPr>
        <w:lastRenderedPageBreak/>
        <w:t>(Мамучевс</w:t>
      </w:r>
      <w:r w:rsidR="0014344B">
        <w:rPr>
          <w:rFonts w:ascii="Times New Roman" w:hAnsi="Times New Roman" w:cs="Times New Roman"/>
          <w:sz w:val="24"/>
          <w:szCs w:val="24"/>
        </w:rPr>
        <w:t>к</w:t>
      </w:r>
      <w:r w:rsidR="005316F6">
        <w:rPr>
          <w:rFonts w:ascii="Times New Roman" w:hAnsi="Times New Roman" w:cs="Times New Roman"/>
          <w:sz w:val="24"/>
          <w:szCs w:val="24"/>
        </w:rPr>
        <w:t xml:space="preserve">а и Василева, (2019), Михајлова В. (2014)), а со тоа се шири просторот за политичко влијание врз работата на овие институции. </w:t>
      </w:r>
    </w:p>
    <w:p w:rsidR="00592AEB" w:rsidRDefault="00592AEB" w:rsidP="005316F6">
      <w:pPr>
        <w:jc w:val="both"/>
        <w:rPr>
          <w:rFonts w:ascii="Times New Roman" w:hAnsi="Times New Roman" w:cs="Times New Roman"/>
          <w:sz w:val="24"/>
          <w:szCs w:val="24"/>
        </w:rPr>
      </w:pPr>
      <w:r>
        <w:rPr>
          <w:rFonts w:ascii="Times New Roman" w:hAnsi="Times New Roman" w:cs="Times New Roman"/>
          <w:sz w:val="24"/>
          <w:szCs w:val="24"/>
        </w:rPr>
        <w:t xml:space="preserve">Во однос на транспарентноста и отчетноста, за сите анализирани иснтитуции карактеристичено е формалното исполнување на овој критериум. Во рамките на законските рокови ги објавуваат годишните извештаи за работењето и одржуваат свои веб страни. Меѓутоа, сепак постојат разлики во однос на овој критериум помеѓу анализираните институции. </w:t>
      </w:r>
      <w:r w:rsidR="00C536A3">
        <w:rPr>
          <w:rFonts w:ascii="Times New Roman" w:hAnsi="Times New Roman" w:cs="Times New Roman"/>
          <w:sz w:val="24"/>
          <w:szCs w:val="24"/>
        </w:rPr>
        <w:t>Додека, веб страните на АП и АРЖС се со многу оскудни податоци, и во голем дел нефункционални, в</w:t>
      </w:r>
      <w:r>
        <w:rPr>
          <w:rFonts w:ascii="Times New Roman" w:hAnsi="Times New Roman" w:cs="Times New Roman"/>
          <w:sz w:val="24"/>
          <w:szCs w:val="24"/>
        </w:rPr>
        <w:t xml:space="preserve">еб страните на АЕК, АВМУ и РКЕ содржат </w:t>
      </w:r>
      <w:r w:rsidR="000334AC">
        <w:rPr>
          <w:rFonts w:ascii="Times New Roman" w:hAnsi="Times New Roman" w:cs="Times New Roman"/>
          <w:sz w:val="24"/>
          <w:szCs w:val="24"/>
        </w:rPr>
        <w:t>значителни</w:t>
      </w:r>
      <w:r>
        <w:rPr>
          <w:rFonts w:ascii="Times New Roman" w:hAnsi="Times New Roman" w:cs="Times New Roman"/>
          <w:sz w:val="24"/>
          <w:szCs w:val="24"/>
        </w:rPr>
        <w:t xml:space="preserve"> податоци за нивните активности и реализирани задачи, редовно објавуваат документи, соопштенија и одлуки, со што стручната јавност може </w:t>
      </w:r>
      <w:r w:rsidR="003C3310">
        <w:rPr>
          <w:rFonts w:ascii="Times New Roman" w:hAnsi="Times New Roman" w:cs="Times New Roman"/>
          <w:sz w:val="24"/>
          <w:szCs w:val="24"/>
        </w:rPr>
        <w:t>релативно</w:t>
      </w:r>
      <w:r>
        <w:rPr>
          <w:rFonts w:ascii="Times New Roman" w:hAnsi="Times New Roman" w:cs="Times New Roman"/>
          <w:sz w:val="24"/>
          <w:szCs w:val="24"/>
        </w:rPr>
        <w:t xml:space="preserve"> добро да се информира за нивите активности.</w:t>
      </w:r>
      <w:r w:rsidR="00522D55">
        <w:rPr>
          <w:rFonts w:ascii="Times New Roman" w:hAnsi="Times New Roman" w:cs="Times New Roman"/>
          <w:sz w:val="24"/>
          <w:szCs w:val="24"/>
        </w:rPr>
        <w:t xml:space="preserve"> </w:t>
      </w:r>
      <w:r>
        <w:rPr>
          <w:rFonts w:ascii="Times New Roman" w:hAnsi="Times New Roman" w:cs="Times New Roman"/>
          <w:sz w:val="24"/>
          <w:szCs w:val="24"/>
        </w:rPr>
        <w:t>Но сепак, перцепциите кај пошироката јавност не се толку оптимистични</w:t>
      </w:r>
      <w:r w:rsidR="00EA19DB">
        <w:rPr>
          <w:rFonts w:ascii="Times New Roman" w:hAnsi="Times New Roman" w:cs="Times New Roman"/>
          <w:sz w:val="24"/>
          <w:szCs w:val="24"/>
          <w:lang w:val="en-US"/>
        </w:rPr>
        <w:t xml:space="preserve"> </w:t>
      </w:r>
      <w:r w:rsidR="00EA19DB">
        <w:rPr>
          <w:rFonts w:ascii="Times New Roman" w:hAnsi="Times New Roman" w:cs="Times New Roman"/>
          <w:sz w:val="24"/>
          <w:szCs w:val="24"/>
        </w:rPr>
        <w:t>во однос на</w:t>
      </w:r>
      <w:r w:rsidR="00C82059">
        <w:rPr>
          <w:rFonts w:ascii="Times New Roman" w:hAnsi="Times New Roman" w:cs="Times New Roman"/>
          <w:sz w:val="24"/>
          <w:szCs w:val="24"/>
        </w:rPr>
        <w:t xml:space="preserve"> </w:t>
      </w:r>
      <w:r w:rsidR="00EA19DB">
        <w:rPr>
          <w:rFonts w:ascii="Times New Roman" w:hAnsi="Times New Roman" w:cs="Times New Roman"/>
          <w:sz w:val="24"/>
          <w:szCs w:val="24"/>
        </w:rPr>
        <w:t>транспарентноста, професионланоста и независноста на регулаторните институции (табела1).</w:t>
      </w:r>
      <w:r w:rsidR="003C3310">
        <w:rPr>
          <w:rFonts w:ascii="Times New Roman" w:hAnsi="Times New Roman" w:cs="Times New Roman"/>
          <w:sz w:val="24"/>
          <w:szCs w:val="24"/>
        </w:rPr>
        <w:t xml:space="preserve"> Во едно друго испитување (Михајлова, 2014), за независноста и транспарентноста на РКЕ (70 % од испитаните деловни субјекти и здруженијата на граѓани ја перципираат РКЕ како зависна од владата, додека 76% од испитаните не ја сметаат за транспарентна), резултатите само ја надополнуваат општата слика за слабата транспарентност, професионалност и независност на регулаторните институции во земјата.</w:t>
      </w:r>
    </w:p>
    <w:p w:rsidR="00EA19DB" w:rsidRPr="00EA19DB" w:rsidRDefault="00EA19DB" w:rsidP="00EA19DB">
      <w:pPr>
        <w:jc w:val="center"/>
        <w:rPr>
          <w:rFonts w:ascii="Times New Roman" w:hAnsi="Times New Roman" w:cs="Times New Roman"/>
          <w:b/>
          <w:sz w:val="24"/>
          <w:szCs w:val="24"/>
        </w:rPr>
      </w:pPr>
      <w:r w:rsidRPr="00EA19DB">
        <w:rPr>
          <w:rFonts w:ascii="Times New Roman" w:hAnsi="Times New Roman" w:cs="Times New Roman"/>
          <w:b/>
          <w:sz w:val="24"/>
          <w:szCs w:val="24"/>
        </w:rPr>
        <w:t>Табела</w:t>
      </w:r>
      <w:r>
        <w:rPr>
          <w:rFonts w:ascii="Times New Roman" w:hAnsi="Times New Roman" w:cs="Times New Roman"/>
          <w:b/>
          <w:sz w:val="24"/>
          <w:szCs w:val="24"/>
        </w:rPr>
        <w:t xml:space="preserve"> </w:t>
      </w:r>
      <w:r w:rsidRPr="00EA19DB">
        <w:rPr>
          <w:rFonts w:ascii="Times New Roman" w:hAnsi="Times New Roman" w:cs="Times New Roman"/>
          <w:b/>
          <w:sz w:val="24"/>
          <w:szCs w:val="24"/>
        </w:rPr>
        <w:t>1:</w:t>
      </w:r>
      <w:r>
        <w:rPr>
          <w:rFonts w:ascii="Times New Roman" w:hAnsi="Times New Roman" w:cs="Times New Roman"/>
          <w:sz w:val="24"/>
          <w:szCs w:val="24"/>
        </w:rPr>
        <w:t xml:space="preserve"> </w:t>
      </w:r>
      <w:r w:rsidRPr="00EA19DB">
        <w:rPr>
          <w:rFonts w:ascii="Times New Roman" w:hAnsi="Times New Roman" w:cs="Times New Roman"/>
          <w:b/>
          <w:sz w:val="24"/>
          <w:szCs w:val="24"/>
        </w:rPr>
        <w:t>Анализа на јавното мислење за транспарентноста, професионалноста и независноста на АВМУ и АЕК</w:t>
      </w:r>
      <w:r>
        <w:rPr>
          <w:rFonts w:ascii="Times New Roman" w:hAnsi="Times New Roman" w:cs="Times New Roman"/>
          <w:b/>
          <w:sz w:val="24"/>
          <w:szCs w:val="24"/>
        </w:rPr>
        <w:t xml:space="preserve"> (резултатите се во %)</w:t>
      </w:r>
    </w:p>
    <w:tbl>
      <w:tblPr>
        <w:tblStyle w:val="TableGrid"/>
        <w:tblW w:w="0" w:type="auto"/>
        <w:tblInd w:w="108" w:type="dxa"/>
        <w:tblLook w:val="04A0" w:firstRow="1" w:lastRow="0" w:firstColumn="1" w:lastColumn="0" w:noHBand="0" w:noVBand="1"/>
      </w:tblPr>
      <w:tblGrid>
        <w:gridCol w:w="2977"/>
        <w:gridCol w:w="1276"/>
        <w:gridCol w:w="1417"/>
        <w:gridCol w:w="1701"/>
        <w:gridCol w:w="1701"/>
      </w:tblGrid>
      <w:tr w:rsidR="00C82059" w:rsidTr="00EA19DB">
        <w:tc>
          <w:tcPr>
            <w:tcW w:w="2977" w:type="dxa"/>
          </w:tcPr>
          <w:p w:rsidR="00C82059" w:rsidRPr="00EA19DB" w:rsidRDefault="00C82059" w:rsidP="005316F6">
            <w:pPr>
              <w:jc w:val="both"/>
              <w:rPr>
                <w:rFonts w:ascii="Times New Roman" w:hAnsi="Times New Roman" w:cs="Times New Roman"/>
              </w:rPr>
            </w:pPr>
            <w:r w:rsidRPr="00EA19DB">
              <w:rPr>
                <w:rFonts w:ascii="Times New Roman" w:hAnsi="Times New Roman" w:cs="Times New Roman"/>
              </w:rPr>
              <w:t>Прашање</w:t>
            </w:r>
          </w:p>
        </w:tc>
        <w:tc>
          <w:tcPr>
            <w:tcW w:w="2693" w:type="dxa"/>
            <w:gridSpan w:val="2"/>
          </w:tcPr>
          <w:p w:rsidR="00C82059" w:rsidRPr="00EA19DB" w:rsidRDefault="00C82059" w:rsidP="00C82059">
            <w:pPr>
              <w:jc w:val="center"/>
              <w:rPr>
                <w:rFonts w:ascii="Times New Roman" w:hAnsi="Times New Roman" w:cs="Times New Roman"/>
              </w:rPr>
            </w:pPr>
            <w:r w:rsidRPr="00EA19DB">
              <w:rPr>
                <w:rFonts w:ascii="Times New Roman" w:hAnsi="Times New Roman" w:cs="Times New Roman"/>
              </w:rPr>
              <w:t>АВМУ</w:t>
            </w:r>
          </w:p>
        </w:tc>
        <w:tc>
          <w:tcPr>
            <w:tcW w:w="3402" w:type="dxa"/>
            <w:gridSpan w:val="2"/>
          </w:tcPr>
          <w:p w:rsidR="00C82059" w:rsidRPr="00EA19DB" w:rsidRDefault="00C82059" w:rsidP="00C82059">
            <w:pPr>
              <w:jc w:val="center"/>
              <w:rPr>
                <w:rFonts w:ascii="Times New Roman" w:hAnsi="Times New Roman" w:cs="Times New Roman"/>
              </w:rPr>
            </w:pPr>
            <w:r w:rsidRPr="00EA19DB">
              <w:rPr>
                <w:rFonts w:ascii="Times New Roman" w:hAnsi="Times New Roman" w:cs="Times New Roman"/>
              </w:rPr>
              <w:t>АЕК</w:t>
            </w:r>
          </w:p>
        </w:tc>
      </w:tr>
      <w:tr w:rsidR="00C82059" w:rsidTr="00EA19DB">
        <w:tc>
          <w:tcPr>
            <w:tcW w:w="2977" w:type="dxa"/>
          </w:tcPr>
          <w:p w:rsidR="00C82059" w:rsidRDefault="00C82059" w:rsidP="005316F6">
            <w:pPr>
              <w:jc w:val="both"/>
              <w:rPr>
                <w:rFonts w:ascii="Times New Roman" w:hAnsi="Times New Roman" w:cs="Times New Roman"/>
                <w:sz w:val="24"/>
                <w:szCs w:val="24"/>
              </w:rPr>
            </w:pPr>
          </w:p>
        </w:tc>
        <w:tc>
          <w:tcPr>
            <w:tcW w:w="1276" w:type="dxa"/>
          </w:tcPr>
          <w:p w:rsidR="00C82059" w:rsidRPr="00EA19DB" w:rsidRDefault="00C82059" w:rsidP="00C82059">
            <w:pPr>
              <w:jc w:val="center"/>
              <w:rPr>
                <w:rFonts w:ascii="Times New Roman" w:hAnsi="Times New Roman" w:cs="Times New Roman"/>
              </w:rPr>
            </w:pPr>
            <w:r w:rsidRPr="00EA19DB">
              <w:rPr>
                <w:rFonts w:ascii="Times New Roman" w:hAnsi="Times New Roman" w:cs="Times New Roman"/>
              </w:rPr>
              <w:t>2018</w:t>
            </w:r>
          </w:p>
        </w:tc>
        <w:tc>
          <w:tcPr>
            <w:tcW w:w="1417" w:type="dxa"/>
          </w:tcPr>
          <w:p w:rsidR="00C82059" w:rsidRPr="00EA19DB" w:rsidRDefault="00C82059" w:rsidP="00C82059">
            <w:pPr>
              <w:jc w:val="center"/>
              <w:rPr>
                <w:rFonts w:ascii="Times New Roman" w:hAnsi="Times New Roman" w:cs="Times New Roman"/>
              </w:rPr>
            </w:pPr>
            <w:r w:rsidRPr="00EA19DB">
              <w:rPr>
                <w:rFonts w:ascii="Times New Roman" w:hAnsi="Times New Roman" w:cs="Times New Roman"/>
              </w:rPr>
              <w:t>2019</w:t>
            </w:r>
          </w:p>
        </w:tc>
        <w:tc>
          <w:tcPr>
            <w:tcW w:w="1701" w:type="dxa"/>
          </w:tcPr>
          <w:p w:rsidR="00C82059" w:rsidRPr="00EA19DB" w:rsidRDefault="00C82059" w:rsidP="00C82059">
            <w:pPr>
              <w:jc w:val="center"/>
              <w:rPr>
                <w:rFonts w:ascii="Times New Roman" w:hAnsi="Times New Roman" w:cs="Times New Roman"/>
              </w:rPr>
            </w:pPr>
            <w:r w:rsidRPr="00EA19DB">
              <w:rPr>
                <w:rFonts w:ascii="Times New Roman" w:hAnsi="Times New Roman" w:cs="Times New Roman"/>
              </w:rPr>
              <w:t>2018</w:t>
            </w:r>
          </w:p>
        </w:tc>
        <w:tc>
          <w:tcPr>
            <w:tcW w:w="1701" w:type="dxa"/>
          </w:tcPr>
          <w:p w:rsidR="00C82059" w:rsidRPr="00EA19DB" w:rsidRDefault="00C82059" w:rsidP="00C82059">
            <w:pPr>
              <w:jc w:val="center"/>
              <w:rPr>
                <w:rFonts w:ascii="Times New Roman" w:hAnsi="Times New Roman" w:cs="Times New Roman"/>
              </w:rPr>
            </w:pPr>
            <w:r w:rsidRPr="00EA19DB">
              <w:rPr>
                <w:rFonts w:ascii="Times New Roman" w:hAnsi="Times New Roman" w:cs="Times New Roman"/>
              </w:rPr>
              <w:t>2019</w:t>
            </w:r>
          </w:p>
        </w:tc>
      </w:tr>
      <w:tr w:rsidR="00C82059" w:rsidTr="00EA19DB">
        <w:tc>
          <w:tcPr>
            <w:tcW w:w="2977" w:type="dxa"/>
          </w:tcPr>
          <w:p w:rsidR="00C82059" w:rsidRPr="00EA19DB" w:rsidRDefault="00EA19DB" w:rsidP="005316F6">
            <w:pPr>
              <w:jc w:val="both"/>
              <w:rPr>
                <w:rFonts w:ascii="Times New Roman" w:hAnsi="Times New Roman" w:cs="Times New Roman"/>
                <w:sz w:val="18"/>
                <w:szCs w:val="18"/>
              </w:rPr>
            </w:pPr>
            <w:r w:rsidRPr="00EA19DB">
              <w:rPr>
                <w:rFonts w:ascii="Times New Roman" w:hAnsi="Times New Roman" w:cs="Times New Roman"/>
                <w:sz w:val="18"/>
                <w:szCs w:val="18"/>
              </w:rPr>
              <w:t>Дали институцијата е транспарентна во своето работење</w:t>
            </w:r>
          </w:p>
        </w:tc>
        <w:tc>
          <w:tcPr>
            <w:tcW w:w="1276" w:type="dxa"/>
          </w:tcPr>
          <w:p w:rsidR="00C82059" w:rsidRDefault="00EA19DB" w:rsidP="00EA19DB">
            <w:pPr>
              <w:jc w:val="center"/>
              <w:rPr>
                <w:rFonts w:ascii="Times New Roman" w:hAnsi="Times New Roman" w:cs="Times New Roman"/>
                <w:sz w:val="24"/>
                <w:szCs w:val="24"/>
              </w:rPr>
            </w:pPr>
            <w:r>
              <w:rPr>
                <w:rFonts w:ascii="Times New Roman" w:hAnsi="Times New Roman" w:cs="Times New Roman"/>
                <w:sz w:val="24"/>
                <w:szCs w:val="24"/>
              </w:rPr>
              <w:t>19,3</w:t>
            </w:r>
          </w:p>
        </w:tc>
        <w:tc>
          <w:tcPr>
            <w:tcW w:w="1417" w:type="dxa"/>
          </w:tcPr>
          <w:p w:rsidR="00C82059" w:rsidRDefault="00EA19DB" w:rsidP="00EA19DB">
            <w:pPr>
              <w:jc w:val="center"/>
              <w:rPr>
                <w:rFonts w:ascii="Times New Roman" w:hAnsi="Times New Roman" w:cs="Times New Roman"/>
                <w:sz w:val="24"/>
                <w:szCs w:val="24"/>
              </w:rPr>
            </w:pPr>
            <w:r>
              <w:rPr>
                <w:rFonts w:ascii="Times New Roman" w:hAnsi="Times New Roman" w:cs="Times New Roman"/>
                <w:sz w:val="24"/>
                <w:szCs w:val="24"/>
              </w:rPr>
              <w:t>26,6</w:t>
            </w:r>
          </w:p>
        </w:tc>
        <w:tc>
          <w:tcPr>
            <w:tcW w:w="1701" w:type="dxa"/>
          </w:tcPr>
          <w:p w:rsidR="00C82059" w:rsidRDefault="00EA19DB" w:rsidP="00EA19DB">
            <w:pPr>
              <w:jc w:val="center"/>
              <w:rPr>
                <w:rFonts w:ascii="Times New Roman" w:hAnsi="Times New Roman" w:cs="Times New Roman"/>
                <w:sz w:val="24"/>
                <w:szCs w:val="24"/>
              </w:rPr>
            </w:pPr>
            <w:r>
              <w:rPr>
                <w:rFonts w:ascii="Times New Roman" w:hAnsi="Times New Roman" w:cs="Times New Roman"/>
                <w:sz w:val="24"/>
                <w:szCs w:val="24"/>
              </w:rPr>
              <w:t>38,6</w:t>
            </w:r>
          </w:p>
        </w:tc>
        <w:tc>
          <w:tcPr>
            <w:tcW w:w="1701" w:type="dxa"/>
          </w:tcPr>
          <w:p w:rsidR="00C82059" w:rsidRDefault="00EA19DB" w:rsidP="00EA19DB">
            <w:pPr>
              <w:jc w:val="center"/>
              <w:rPr>
                <w:rFonts w:ascii="Times New Roman" w:hAnsi="Times New Roman" w:cs="Times New Roman"/>
                <w:sz w:val="24"/>
                <w:szCs w:val="24"/>
              </w:rPr>
            </w:pPr>
            <w:r>
              <w:rPr>
                <w:rFonts w:ascii="Times New Roman" w:hAnsi="Times New Roman" w:cs="Times New Roman"/>
                <w:sz w:val="24"/>
                <w:szCs w:val="24"/>
              </w:rPr>
              <w:t>34,5</w:t>
            </w:r>
          </w:p>
        </w:tc>
      </w:tr>
      <w:tr w:rsidR="00C82059" w:rsidTr="00EA19DB">
        <w:tc>
          <w:tcPr>
            <w:tcW w:w="2977" w:type="dxa"/>
          </w:tcPr>
          <w:p w:rsidR="00C82059" w:rsidRPr="00EA19DB" w:rsidRDefault="00EA19DB" w:rsidP="00EA19DB">
            <w:pPr>
              <w:jc w:val="both"/>
              <w:rPr>
                <w:rFonts w:ascii="Times New Roman" w:hAnsi="Times New Roman" w:cs="Times New Roman"/>
                <w:sz w:val="18"/>
                <w:szCs w:val="18"/>
              </w:rPr>
            </w:pPr>
            <w:r w:rsidRPr="00EA19DB">
              <w:rPr>
                <w:rFonts w:ascii="Times New Roman" w:hAnsi="Times New Roman" w:cs="Times New Roman"/>
                <w:sz w:val="18"/>
                <w:szCs w:val="18"/>
              </w:rPr>
              <w:t>Дали институцијата е професионална во своето работење</w:t>
            </w:r>
          </w:p>
        </w:tc>
        <w:tc>
          <w:tcPr>
            <w:tcW w:w="1276" w:type="dxa"/>
          </w:tcPr>
          <w:p w:rsidR="00C82059" w:rsidRDefault="00EA19DB" w:rsidP="00EA19DB">
            <w:pPr>
              <w:jc w:val="center"/>
              <w:rPr>
                <w:rFonts w:ascii="Times New Roman" w:hAnsi="Times New Roman" w:cs="Times New Roman"/>
                <w:sz w:val="24"/>
                <w:szCs w:val="24"/>
              </w:rPr>
            </w:pPr>
            <w:r>
              <w:rPr>
                <w:rFonts w:ascii="Times New Roman" w:hAnsi="Times New Roman" w:cs="Times New Roman"/>
                <w:sz w:val="24"/>
                <w:szCs w:val="24"/>
              </w:rPr>
              <w:t>23,7</w:t>
            </w:r>
          </w:p>
        </w:tc>
        <w:tc>
          <w:tcPr>
            <w:tcW w:w="1417" w:type="dxa"/>
          </w:tcPr>
          <w:p w:rsidR="00C82059" w:rsidRDefault="00EA19DB" w:rsidP="00EA19DB">
            <w:pPr>
              <w:jc w:val="center"/>
              <w:rPr>
                <w:rFonts w:ascii="Times New Roman" w:hAnsi="Times New Roman" w:cs="Times New Roman"/>
                <w:sz w:val="24"/>
                <w:szCs w:val="24"/>
              </w:rPr>
            </w:pPr>
            <w:r>
              <w:rPr>
                <w:rFonts w:ascii="Times New Roman" w:hAnsi="Times New Roman" w:cs="Times New Roman"/>
                <w:sz w:val="24"/>
                <w:szCs w:val="24"/>
              </w:rPr>
              <w:t>29,9</w:t>
            </w:r>
          </w:p>
        </w:tc>
        <w:tc>
          <w:tcPr>
            <w:tcW w:w="1701" w:type="dxa"/>
          </w:tcPr>
          <w:p w:rsidR="00C82059" w:rsidRDefault="00EA19DB" w:rsidP="00EA19DB">
            <w:pPr>
              <w:jc w:val="center"/>
              <w:rPr>
                <w:rFonts w:ascii="Times New Roman" w:hAnsi="Times New Roman" w:cs="Times New Roman"/>
                <w:sz w:val="24"/>
                <w:szCs w:val="24"/>
              </w:rPr>
            </w:pPr>
            <w:r>
              <w:rPr>
                <w:rFonts w:ascii="Times New Roman" w:hAnsi="Times New Roman" w:cs="Times New Roman"/>
                <w:sz w:val="24"/>
                <w:szCs w:val="24"/>
              </w:rPr>
              <w:t>44,3</w:t>
            </w:r>
          </w:p>
        </w:tc>
        <w:tc>
          <w:tcPr>
            <w:tcW w:w="1701" w:type="dxa"/>
          </w:tcPr>
          <w:p w:rsidR="00C82059" w:rsidRDefault="00EA19DB" w:rsidP="00EA19DB">
            <w:pPr>
              <w:jc w:val="center"/>
              <w:rPr>
                <w:rFonts w:ascii="Times New Roman" w:hAnsi="Times New Roman" w:cs="Times New Roman"/>
                <w:sz w:val="24"/>
                <w:szCs w:val="24"/>
              </w:rPr>
            </w:pPr>
            <w:r>
              <w:rPr>
                <w:rFonts w:ascii="Times New Roman" w:hAnsi="Times New Roman" w:cs="Times New Roman"/>
                <w:sz w:val="24"/>
                <w:szCs w:val="24"/>
              </w:rPr>
              <w:t>37,7</w:t>
            </w:r>
          </w:p>
        </w:tc>
      </w:tr>
      <w:tr w:rsidR="00EA19DB" w:rsidTr="00EA19DB">
        <w:tc>
          <w:tcPr>
            <w:tcW w:w="2977" w:type="dxa"/>
          </w:tcPr>
          <w:p w:rsidR="00EA19DB" w:rsidRPr="00EA19DB" w:rsidRDefault="00EA19DB" w:rsidP="00EA19DB">
            <w:pPr>
              <w:jc w:val="both"/>
              <w:rPr>
                <w:rFonts w:ascii="Times New Roman" w:hAnsi="Times New Roman" w:cs="Times New Roman"/>
                <w:sz w:val="18"/>
                <w:szCs w:val="18"/>
              </w:rPr>
            </w:pPr>
            <w:r w:rsidRPr="00EA19DB">
              <w:rPr>
                <w:rFonts w:ascii="Times New Roman" w:hAnsi="Times New Roman" w:cs="Times New Roman"/>
                <w:sz w:val="18"/>
                <w:szCs w:val="18"/>
              </w:rPr>
              <w:t xml:space="preserve">Дали институцијата е независна во своето работење од партиските, владините или бизнис интересите </w:t>
            </w:r>
          </w:p>
        </w:tc>
        <w:tc>
          <w:tcPr>
            <w:tcW w:w="1276" w:type="dxa"/>
          </w:tcPr>
          <w:p w:rsidR="00EA19DB" w:rsidRDefault="00EA19DB" w:rsidP="00EA19DB">
            <w:pPr>
              <w:jc w:val="center"/>
              <w:rPr>
                <w:rFonts w:ascii="Times New Roman" w:hAnsi="Times New Roman" w:cs="Times New Roman"/>
                <w:sz w:val="24"/>
                <w:szCs w:val="24"/>
              </w:rPr>
            </w:pPr>
            <w:r>
              <w:rPr>
                <w:rFonts w:ascii="Times New Roman" w:hAnsi="Times New Roman" w:cs="Times New Roman"/>
                <w:sz w:val="24"/>
                <w:szCs w:val="24"/>
              </w:rPr>
              <w:t>34,8</w:t>
            </w:r>
          </w:p>
        </w:tc>
        <w:tc>
          <w:tcPr>
            <w:tcW w:w="1417" w:type="dxa"/>
          </w:tcPr>
          <w:p w:rsidR="00EA19DB" w:rsidRDefault="00EA19DB" w:rsidP="00EA19DB">
            <w:pPr>
              <w:jc w:val="center"/>
              <w:rPr>
                <w:rFonts w:ascii="Times New Roman" w:hAnsi="Times New Roman" w:cs="Times New Roman"/>
                <w:sz w:val="24"/>
                <w:szCs w:val="24"/>
              </w:rPr>
            </w:pPr>
            <w:r>
              <w:rPr>
                <w:rFonts w:ascii="Times New Roman" w:hAnsi="Times New Roman" w:cs="Times New Roman"/>
                <w:sz w:val="24"/>
                <w:szCs w:val="24"/>
              </w:rPr>
              <w:t>17,7</w:t>
            </w:r>
          </w:p>
        </w:tc>
        <w:tc>
          <w:tcPr>
            <w:tcW w:w="1701" w:type="dxa"/>
          </w:tcPr>
          <w:p w:rsidR="00EA19DB" w:rsidRDefault="00EA19DB" w:rsidP="00EA19DB">
            <w:pPr>
              <w:jc w:val="center"/>
              <w:rPr>
                <w:rFonts w:ascii="Times New Roman" w:hAnsi="Times New Roman" w:cs="Times New Roman"/>
                <w:sz w:val="24"/>
                <w:szCs w:val="24"/>
              </w:rPr>
            </w:pPr>
            <w:r>
              <w:rPr>
                <w:rFonts w:ascii="Times New Roman" w:hAnsi="Times New Roman" w:cs="Times New Roman"/>
                <w:sz w:val="24"/>
                <w:szCs w:val="24"/>
              </w:rPr>
              <w:t>40,3</w:t>
            </w:r>
          </w:p>
        </w:tc>
        <w:tc>
          <w:tcPr>
            <w:tcW w:w="1701" w:type="dxa"/>
          </w:tcPr>
          <w:p w:rsidR="00EA19DB" w:rsidRDefault="00EA19DB" w:rsidP="00EA19DB">
            <w:pPr>
              <w:jc w:val="center"/>
              <w:rPr>
                <w:rFonts w:ascii="Times New Roman" w:hAnsi="Times New Roman" w:cs="Times New Roman"/>
                <w:sz w:val="24"/>
                <w:szCs w:val="24"/>
              </w:rPr>
            </w:pPr>
            <w:r>
              <w:rPr>
                <w:rFonts w:ascii="Times New Roman" w:hAnsi="Times New Roman" w:cs="Times New Roman"/>
                <w:sz w:val="24"/>
                <w:szCs w:val="24"/>
              </w:rPr>
              <w:t>21,1</w:t>
            </w:r>
          </w:p>
        </w:tc>
      </w:tr>
    </w:tbl>
    <w:p w:rsidR="009A4324" w:rsidRPr="00EA19DB" w:rsidRDefault="00EA19DB" w:rsidP="005316F6">
      <w:pPr>
        <w:jc w:val="both"/>
        <w:rPr>
          <w:rFonts w:ascii="Times New Roman" w:hAnsi="Times New Roman" w:cs="Times New Roman"/>
          <w:i/>
          <w:sz w:val="16"/>
          <w:szCs w:val="16"/>
          <w:lang w:val="en-US"/>
        </w:rPr>
      </w:pPr>
      <w:r w:rsidRPr="00EA19DB">
        <w:rPr>
          <w:rFonts w:ascii="Times New Roman" w:hAnsi="Times New Roman" w:cs="Times New Roman"/>
          <w:i/>
          <w:sz w:val="16"/>
          <w:szCs w:val="16"/>
        </w:rPr>
        <w:t>Извор:</w:t>
      </w:r>
      <w:r>
        <w:rPr>
          <w:rFonts w:ascii="Times New Roman" w:hAnsi="Times New Roman" w:cs="Times New Roman"/>
          <w:i/>
          <w:sz w:val="16"/>
          <w:szCs w:val="16"/>
        </w:rPr>
        <w:t xml:space="preserve"> Инфографици од Евротинк објавени на </w:t>
      </w:r>
      <w:r>
        <w:rPr>
          <w:rFonts w:ascii="Times New Roman" w:hAnsi="Times New Roman" w:cs="Times New Roman"/>
          <w:i/>
          <w:sz w:val="16"/>
          <w:szCs w:val="16"/>
          <w:lang w:val="en-US"/>
        </w:rPr>
        <w:t>www.mcet.org.mk</w:t>
      </w:r>
    </w:p>
    <w:p w:rsidR="00522D55" w:rsidRPr="00E05EBC" w:rsidRDefault="00C536A3" w:rsidP="005316F6">
      <w:pPr>
        <w:jc w:val="both"/>
        <w:rPr>
          <w:rFonts w:ascii="Times New Roman" w:hAnsi="Times New Roman" w:cs="Times New Roman"/>
          <w:b/>
          <w:color w:val="000000" w:themeColor="text1"/>
          <w:sz w:val="24"/>
          <w:szCs w:val="24"/>
        </w:rPr>
      </w:pPr>
      <w:r w:rsidRPr="00711FCC">
        <w:rPr>
          <w:rFonts w:ascii="Times New Roman" w:hAnsi="Times New Roman" w:cs="Times New Roman"/>
          <w:sz w:val="24"/>
          <w:szCs w:val="24"/>
        </w:rPr>
        <w:t>Финансиската независност на регулаторните институции е посебно вулнерабилна тема. За</w:t>
      </w:r>
      <w:r w:rsidR="00F41467" w:rsidRPr="00711FCC">
        <w:rPr>
          <w:rFonts w:ascii="Times New Roman" w:hAnsi="Times New Roman" w:cs="Times New Roman"/>
          <w:sz w:val="24"/>
          <w:szCs w:val="24"/>
        </w:rPr>
        <w:t>конот предвидува</w:t>
      </w:r>
      <w:r w:rsidR="00C009BF" w:rsidRPr="00711FCC">
        <w:rPr>
          <w:rFonts w:ascii="Times New Roman" w:hAnsi="Times New Roman" w:cs="Times New Roman"/>
          <w:sz w:val="24"/>
          <w:szCs w:val="24"/>
        </w:rPr>
        <w:t xml:space="preserve"> финансиска</w:t>
      </w:r>
      <w:r w:rsidR="00F41467" w:rsidRPr="00711FCC">
        <w:rPr>
          <w:rFonts w:ascii="Times New Roman" w:hAnsi="Times New Roman" w:cs="Times New Roman"/>
          <w:sz w:val="24"/>
          <w:szCs w:val="24"/>
        </w:rPr>
        <w:t xml:space="preserve"> независност на</w:t>
      </w:r>
      <w:r w:rsidRPr="00711FCC">
        <w:rPr>
          <w:rFonts w:ascii="Times New Roman" w:hAnsi="Times New Roman" w:cs="Times New Roman"/>
          <w:sz w:val="24"/>
          <w:szCs w:val="24"/>
        </w:rPr>
        <w:t xml:space="preserve"> секторските </w:t>
      </w:r>
      <w:r w:rsidR="00C009BF" w:rsidRPr="00711FCC">
        <w:rPr>
          <w:rFonts w:ascii="Times New Roman" w:hAnsi="Times New Roman" w:cs="Times New Roman"/>
          <w:sz w:val="24"/>
          <w:szCs w:val="24"/>
        </w:rPr>
        <w:t>е</w:t>
      </w:r>
      <w:r w:rsidR="00C009BF" w:rsidRPr="00711FCC">
        <w:rPr>
          <w:rFonts w:ascii="Times New Roman" w:hAnsi="Times New Roman" w:cs="Times New Roman"/>
          <w:sz w:val="24"/>
          <w:szCs w:val="24"/>
          <w:lang w:val="en-US"/>
        </w:rPr>
        <w:t xml:space="preserve">x-ante </w:t>
      </w:r>
      <w:r w:rsidRPr="00711FCC">
        <w:rPr>
          <w:rFonts w:ascii="Times New Roman" w:hAnsi="Times New Roman" w:cs="Times New Roman"/>
          <w:sz w:val="24"/>
          <w:szCs w:val="24"/>
        </w:rPr>
        <w:t>регулатори</w:t>
      </w:r>
      <w:r w:rsidR="00C009BF" w:rsidRPr="00711FCC">
        <w:rPr>
          <w:rFonts w:ascii="Times New Roman" w:hAnsi="Times New Roman" w:cs="Times New Roman"/>
          <w:sz w:val="24"/>
          <w:szCs w:val="24"/>
        </w:rPr>
        <w:t>, јасно дефинирајќи ги изворите за нивно финансирање.</w:t>
      </w:r>
      <w:r w:rsidR="00C009BF" w:rsidRPr="00711FCC">
        <w:rPr>
          <w:rFonts w:ascii="Times New Roman" w:hAnsi="Times New Roman" w:cs="Times New Roman"/>
          <w:sz w:val="24"/>
          <w:szCs w:val="24"/>
          <w:lang w:val="en-US"/>
        </w:rPr>
        <w:t xml:space="preserve"> </w:t>
      </w:r>
      <w:r w:rsidR="00F76663">
        <w:rPr>
          <w:rFonts w:ascii="Times New Roman" w:hAnsi="Times New Roman" w:cs="Times New Roman"/>
          <w:sz w:val="24"/>
          <w:szCs w:val="24"/>
        </w:rPr>
        <w:t>Споредбата помеѓу ф</w:t>
      </w:r>
      <w:r w:rsidR="00C009BF" w:rsidRPr="00711FCC">
        <w:rPr>
          <w:rFonts w:ascii="Times New Roman" w:hAnsi="Times New Roman" w:cs="Times New Roman"/>
          <w:sz w:val="24"/>
          <w:szCs w:val="24"/>
        </w:rPr>
        <w:t xml:space="preserve">инансиската моќ </w:t>
      </w:r>
      <w:r w:rsidR="00F76663">
        <w:rPr>
          <w:rFonts w:ascii="Times New Roman" w:hAnsi="Times New Roman" w:cs="Times New Roman"/>
          <w:sz w:val="24"/>
          <w:szCs w:val="24"/>
        </w:rPr>
        <w:t>на регулаторите укажува на големи разлики, и пред сѐ, тие разлики се одраз на финансиската моќ на компаниите кои се во надлежност на регулација на соодветните регулаторни тела. Она што графиконот 3 го покажува е следново, според остварените приходи АРЖС и АП се наоѓаат на дното на графиконот, укажувајќи на слабата финансиска моќ на овие институции</w:t>
      </w:r>
      <w:r w:rsidR="00F76663">
        <w:rPr>
          <w:rStyle w:val="FootnoteReference"/>
          <w:rFonts w:ascii="Times New Roman" w:hAnsi="Times New Roman" w:cs="Times New Roman"/>
          <w:sz w:val="24"/>
          <w:szCs w:val="24"/>
        </w:rPr>
        <w:footnoteReference w:id="3"/>
      </w:r>
      <w:r w:rsidR="00F76663">
        <w:rPr>
          <w:rFonts w:ascii="Times New Roman" w:hAnsi="Times New Roman" w:cs="Times New Roman"/>
          <w:sz w:val="24"/>
          <w:szCs w:val="24"/>
        </w:rPr>
        <w:t xml:space="preserve">. Приходите на РКЕ и АП покажуваат релативно стабилен тренд на движење. Кај АВМУ, приходите од 2014 година бележат колеблив раст, што се должи на зголемената стапка на наплата на радиодифузната такса </w:t>
      </w:r>
      <w:r w:rsidR="00F76663" w:rsidRPr="00F76663">
        <w:rPr>
          <w:rFonts w:ascii="Times New Roman" w:hAnsi="Times New Roman" w:cs="Times New Roman"/>
          <w:color w:val="000000" w:themeColor="text1"/>
          <w:sz w:val="24"/>
          <w:szCs w:val="24"/>
        </w:rPr>
        <w:t xml:space="preserve">(кој се наплатуваше до 2016 година), а потоа согласно законските измени, АВМУ добива буџетски дотации од централниот буџет како компензација за укинувањето на </w:t>
      </w:r>
      <w:r w:rsidR="00F76663" w:rsidRPr="00F76663">
        <w:rPr>
          <w:rFonts w:ascii="Times New Roman" w:hAnsi="Times New Roman" w:cs="Times New Roman"/>
          <w:color w:val="000000" w:themeColor="text1"/>
          <w:sz w:val="24"/>
          <w:szCs w:val="24"/>
        </w:rPr>
        <w:lastRenderedPageBreak/>
        <w:t xml:space="preserve">наплатата на радиодифузната такса од домаќинствата и фирмите. Со оваа законска измена всушност се направи упад во финансиската независност на оваа институција, и во голема мера таа станува финансиски зависна од извршната власт. Во однос на трендовите на приходите на АЕК од 2014 година доаѓа до значаен пад во приходите што се должи пред сѐ намалувањето на надоместокот за фреквенции (трошок кој паѓа на товар на операторите, додека крајниот ефект врз цените за услугите на крајните корисници изостана), но и од несоодветните измени во ЗЕК од 2018 година, со кои директно се наложи финансиски трансфер од АЕК кон ОТА (Оперативно техничка агенција), кога повторно на еклатантен начин извршната власт направи упад во финансиската независност на оваа институција. </w:t>
      </w:r>
      <w:r w:rsidR="00112EB7">
        <w:rPr>
          <w:rFonts w:ascii="Times New Roman" w:hAnsi="Times New Roman" w:cs="Times New Roman"/>
          <w:color w:val="000000" w:themeColor="text1"/>
          <w:sz w:val="24"/>
          <w:szCs w:val="24"/>
        </w:rPr>
        <w:t xml:space="preserve">Ситуацијата со КЗК е уште подраматична. </w:t>
      </w:r>
      <w:r w:rsidR="00E05EBC">
        <w:rPr>
          <w:rFonts w:ascii="Times New Roman" w:hAnsi="Times New Roman" w:cs="Times New Roman"/>
          <w:color w:val="000000" w:themeColor="text1"/>
          <w:sz w:val="24"/>
          <w:szCs w:val="24"/>
        </w:rPr>
        <w:t xml:space="preserve">Единствената институција надлежна за </w:t>
      </w:r>
      <w:r w:rsidR="00E05EBC">
        <w:rPr>
          <w:rFonts w:ascii="Times New Roman" w:hAnsi="Times New Roman" w:cs="Times New Roman"/>
          <w:color w:val="000000" w:themeColor="text1"/>
          <w:sz w:val="24"/>
          <w:szCs w:val="24"/>
          <w:lang w:val="en-US"/>
        </w:rPr>
        <w:t xml:space="preserve">ex-post </w:t>
      </w:r>
      <w:r w:rsidR="00E05EBC">
        <w:rPr>
          <w:rFonts w:ascii="Times New Roman" w:hAnsi="Times New Roman" w:cs="Times New Roman"/>
          <w:color w:val="000000" w:themeColor="text1"/>
          <w:sz w:val="24"/>
          <w:szCs w:val="24"/>
        </w:rPr>
        <w:t xml:space="preserve">регулација во земјата е целосно финансиски зависна од извршната власт, односно во целост се финансира од буџетски средства. Во периодот 2010 година до 2018 година, нејзините и онака скромни приходи се намалени за повеќе од 20%. Со тоа, таа </w:t>
      </w:r>
      <w:r w:rsidR="00E05EBC">
        <w:rPr>
          <w:rFonts w:ascii="Times New Roman" w:hAnsi="Times New Roman" w:cs="Times New Roman"/>
          <w:color w:val="000000" w:themeColor="text1"/>
          <w:sz w:val="24"/>
          <w:szCs w:val="24"/>
          <w:lang w:val="en-US"/>
        </w:rPr>
        <w:t>de-facto</w:t>
      </w:r>
      <w:r w:rsidR="00E05EBC">
        <w:rPr>
          <w:rFonts w:ascii="Times New Roman" w:hAnsi="Times New Roman" w:cs="Times New Roman"/>
          <w:color w:val="000000" w:themeColor="text1"/>
          <w:sz w:val="24"/>
          <w:szCs w:val="24"/>
        </w:rPr>
        <w:t xml:space="preserve"> не е во позиција да ја исполнува функцијата која со закон и е доделена: да ја заштитува и зајакнува пазарната конкуренција во земјата.</w:t>
      </w:r>
    </w:p>
    <w:p w:rsidR="00C009BF" w:rsidRPr="00E22F75" w:rsidRDefault="00C009BF" w:rsidP="00E22F75">
      <w:pPr>
        <w:jc w:val="center"/>
        <w:rPr>
          <w:rFonts w:ascii="Times New Roman" w:hAnsi="Times New Roman" w:cs="Times New Roman"/>
          <w:b/>
          <w:sz w:val="24"/>
          <w:szCs w:val="24"/>
        </w:rPr>
      </w:pPr>
      <w:r w:rsidRPr="00E22F75">
        <w:rPr>
          <w:rFonts w:ascii="Times New Roman" w:hAnsi="Times New Roman" w:cs="Times New Roman"/>
          <w:b/>
          <w:sz w:val="24"/>
          <w:szCs w:val="24"/>
        </w:rPr>
        <w:t>График</w:t>
      </w:r>
      <w:r w:rsidR="00C2176F">
        <w:rPr>
          <w:rFonts w:ascii="Times New Roman" w:hAnsi="Times New Roman" w:cs="Times New Roman"/>
          <w:b/>
          <w:sz w:val="24"/>
          <w:szCs w:val="24"/>
        </w:rPr>
        <w:t>он</w:t>
      </w:r>
      <w:r w:rsidRPr="00E22F75">
        <w:rPr>
          <w:rFonts w:ascii="Times New Roman" w:hAnsi="Times New Roman" w:cs="Times New Roman"/>
          <w:b/>
          <w:sz w:val="24"/>
          <w:szCs w:val="24"/>
        </w:rPr>
        <w:t xml:space="preserve"> 3: Остварени приходи на АЕК, АВМУ, РКЕ, АП, АРЖС И КЗК</w:t>
      </w:r>
      <w:r w:rsidR="00E22F75" w:rsidRPr="00E22F75">
        <w:rPr>
          <w:rFonts w:ascii="Times New Roman" w:hAnsi="Times New Roman" w:cs="Times New Roman"/>
          <w:b/>
          <w:sz w:val="24"/>
          <w:szCs w:val="24"/>
        </w:rPr>
        <w:t xml:space="preserve"> во периодот (2010-201</w:t>
      </w:r>
      <w:r w:rsidR="00390993">
        <w:rPr>
          <w:rFonts w:ascii="Times New Roman" w:hAnsi="Times New Roman" w:cs="Times New Roman"/>
          <w:b/>
          <w:sz w:val="24"/>
          <w:szCs w:val="24"/>
        </w:rPr>
        <w:t>9</w:t>
      </w:r>
      <w:r w:rsidR="00E22F75" w:rsidRPr="00E22F75">
        <w:rPr>
          <w:rFonts w:ascii="Times New Roman" w:hAnsi="Times New Roman" w:cs="Times New Roman"/>
          <w:b/>
          <w:sz w:val="24"/>
          <w:szCs w:val="24"/>
        </w:rPr>
        <w:t xml:space="preserve"> година, во 000 денари)</w:t>
      </w:r>
    </w:p>
    <w:p w:rsidR="00711FCC" w:rsidRDefault="00E22F75" w:rsidP="005316F6">
      <w:pPr>
        <w:jc w:val="both"/>
        <w:rPr>
          <w:rFonts w:ascii="Times New Roman" w:hAnsi="Times New Roman" w:cs="Times New Roman"/>
          <w:sz w:val="24"/>
          <w:szCs w:val="24"/>
          <w:highlight w:val="yellow"/>
        </w:rPr>
      </w:pPr>
      <w:r w:rsidRPr="00E22F75">
        <w:rPr>
          <w:noProof/>
          <w:szCs w:val="24"/>
          <w:bdr w:val="single" w:sz="4" w:space="0" w:color="auto"/>
          <w:lang w:val="en-US"/>
        </w:rPr>
        <w:drawing>
          <wp:inline distT="0" distB="0" distL="0" distR="0">
            <wp:extent cx="5731510" cy="2731122"/>
            <wp:effectExtent l="19050" t="0" r="254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731510" cy="2731122"/>
                    </a:xfrm>
                    <a:prstGeom prst="rect">
                      <a:avLst/>
                    </a:prstGeom>
                    <a:noFill/>
                    <a:ln w="9525">
                      <a:noFill/>
                      <a:miter lim="800000"/>
                      <a:headEnd/>
                      <a:tailEnd/>
                    </a:ln>
                  </pic:spPr>
                </pic:pic>
              </a:graphicData>
            </a:graphic>
          </wp:inline>
        </w:drawing>
      </w:r>
    </w:p>
    <w:p w:rsidR="00F76663" w:rsidRDefault="00F76663" w:rsidP="005316F6">
      <w:pPr>
        <w:jc w:val="both"/>
        <w:rPr>
          <w:rFonts w:ascii="Times New Roman" w:hAnsi="Times New Roman" w:cs="Times New Roman"/>
          <w:i/>
          <w:sz w:val="16"/>
          <w:szCs w:val="16"/>
        </w:rPr>
      </w:pPr>
      <w:r w:rsidRPr="00F76663">
        <w:rPr>
          <w:rFonts w:ascii="Times New Roman" w:hAnsi="Times New Roman" w:cs="Times New Roman"/>
          <w:i/>
          <w:sz w:val="16"/>
          <w:szCs w:val="16"/>
        </w:rPr>
        <w:t xml:space="preserve">Извор: </w:t>
      </w:r>
      <w:r>
        <w:rPr>
          <w:rFonts w:ascii="Times New Roman" w:hAnsi="Times New Roman" w:cs="Times New Roman"/>
          <w:i/>
          <w:sz w:val="16"/>
          <w:szCs w:val="16"/>
        </w:rPr>
        <w:t xml:space="preserve">Пресметки на авторот според податоците објавени во: </w:t>
      </w:r>
      <w:r w:rsidRPr="00F76663">
        <w:rPr>
          <w:rFonts w:ascii="Times New Roman" w:hAnsi="Times New Roman" w:cs="Times New Roman"/>
          <w:i/>
          <w:sz w:val="16"/>
          <w:szCs w:val="16"/>
        </w:rPr>
        <w:t>Годишни извештаи за работењето на  АВМУ, РКЕ, и АП  објавени за годините од 2010 до 2019, Годишни извештаи за работењето на АЕК од 2011 до 2019, и Годишни извештаи за работењето на АРЖС и КЗК од 2010  до 2018</w:t>
      </w:r>
    </w:p>
    <w:p w:rsidR="00AC08DC" w:rsidRDefault="00AC08DC" w:rsidP="005316F6">
      <w:pPr>
        <w:jc w:val="both"/>
        <w:rPr>
          <w:rFonts w:ascii="Times New Roman" w:hAnsi="Times New Roman" w:cs="Times New Roman"/>
          <w:sz w:val="24"/>
          <w:szCs w:val="24"/>
        </w:rPr>
      </w:pPr>
      <w:r>
        <w:rPr>
          <w:rFonts w:ascii="Times New Roman" w:hAnsi="Times New Roman" w:cs="Times New Roman"/>
          <w:sz w:val="24"/>
          <w:szCs w:val="24"/>
        </w:rPr>
        <w:t>Во</w:t>
      </w:r>
      <w:r w:rsidR="00C2176F">
        <w:rPr>
          <w:rFonts w:ascii="Times New Roman" w:hAnsi="Times New Roman" w:cs="Times New Roman"/>
          <w:sz w:val="24"/>
          <w:szCs w:val="24"/>
        </w:rPr>
        <w:t xml:space="preserve"> балансот меѓу расходите и приходите, кај сите институции повеќе или помалку за остварува рамнотежа меѓу годишните приходи и расходи (со исклучок на КЗК, кај која многу често расходите се поголеми од приходите за незначителен износ, пред сѐ за заостанати и непалтени трошоци за комунални услуги)</w:t>
      </w:r>
      <w:r w:rsidR="00AF7C1F">
        <w:rPr>
          <w:rFonts w:ascii="Times New Roman" w:hAnsi="Times New Roman" w:cs="Times New Roman"/>
          <w:sz w:val="24"/>
          <w:szCs w:val="24"/>
        </w:rPr>
        <w:t>.</w:t>
      </w:r>
    </w:p>
    <w:p w:rsidR="00AF7C1F" w:rsidRPr="00E22F75" w:rsidRDefault="00AF7C1F" w:rsidP="00AF7C1F">
      <w:pPr>
        <w:jc w:val="center"/>
        <w:rPr>
          <w:rFonts w:ascii="Times New Roman" w:hAnsi="Times New Roman" w:cs="Times New Roman"/>
          <w:b/>
          <w:sz w:val="24"/>
          <w:szCs w:val="24"/>
        </w:rPr>
      </w:pPr>
      <w:r w:rsidRPr="00AF7C1F">
        <w:rPr>
          <w:rFonts w:ascii="Times New Roman" w:hAnsi="Times New Roman" w:cs="Times New Roman"/>
          <w:b/>
          <w:sz w:val="24"/>
          <w:szCs w:val="24"/>
        </w:rPr>
        <w:t xml:space="preserve">Графикон 4: </w:t>
      </w:r>
      <w:r w:rsidRPr="00E22F75">
        <w:rPr>
          <w:rFonts w:ascii="Times New Roman" w:hAnsi="Times New Roman" w:cs="Times New Roman"/>
          <w:b/>
          <w:sz w:val="24"/>
          <w:szCs w:val="24"/>
        </w:rPr>
        <w:t>Остварени приходи</w:t>
      </w:r>
      <w:r>
        <w:rPr>
          <w:rFonts w:ascii="Times New Roman" w:hAnsi="Times New Roman" w:cs="Times New Roman"/>
          <w:b/>
          <w:sz w:val="24"/>
          <w:szCs w:val="24"/>
        </w:rPr>
        <w:t xml:space="preserve"> и расходи</w:t>
      </w:r>
      <w:r w:rsidRPr="00E22F75">
        <w:rPr>
          <w:rFonts w:ascii="Times New Roman" w:hAnsi="Times New Roman" w:cs="Times New Roman"/>
          <w:b/>
          <w:sz w:val="24"/>
          <w:szCs w:val="24"/>
        </w:rPr>
        <w:t xml:space="preserve"> на АЕК, АВМУ, РКЕ, АП, АРЖС И КЗК во периодот (2010-201</w:t>
      </w:r>
      <w:r w:rsidR="00390993">
        <w:rPr>
          <w:rFonts w:ascii="Times New Roman" w:hAnsi="Times New Roman" w:cs="Times New Roman"/>
          <w:b/>
          <w:sz w:val="24"/>
          <w:szCs w:val="24"/>
        </w:rPr>
        <w:t>9</w:t>
      </w:r>
      <w:r w:rsidRPr="00E22F75">
        <w:rPr>
          <w:rFonts w:ascii="Times New Roman" w:hAnsi="Times New Roman" w:cs="Times New Roman"/>
          <w:b/>
          <w:sz w:val="24"/>
          <w:szCs w:val="24"/>
        </w:rPr>
        <w:t xml:space="preserve"> година, во 000 денари)</w:t>
      </w:r>
    </w:p>
    <w:p w:rsidR="00AF7C1F" w:rsidRPr="00AF7C1F" w:rsidRDefault="00AF7C1F" w:rsidP="005316F6">
      <w:pPr>
        <w:jc w:val="both"/>
        <w:rPr>
          <w:rFonts w:ascii="Times New Roman" w:hAnsi="Times New Roman" w:cs="Times New Roman"/>
          <w:b/>
          <w:sz w:val="24"/>
          <w:szCs w:val="24"/>
        </w:rPr>
      </w:pPr>
    </w:p>
    <w:tbl>
      <w:tblPr>
        <w:tblStyle w:val="TableGrid"/>
        <w:tblW w:w="9153" w:type="dxa"/>
        <w:tblLook w:val="04A0" w:firstRow="1" w:lastRow="0" w:firstColumn="1" w:lastColumn="0" w:noHBand="0" w:noVBand="1"/>
      </w:tblPr>
      <w:tblGrid>
        <w:gridCol w:w="9153"/>
      </w:tblGrid>
      <w:tr w:rsidR="00901254" w:rsidTr="009D5494">
        <w:trPr>
          <w:trHeight w:val="10763"/>
        </w:trPr>
        <w:tc>
          <w:tcPr>
            <w:tcW w:w="9153" w:type="dxa"/>
          </w:tcPr>
          <w:p w:rsidR="00901254" w:rsidRDefault="00901254" w:rsidP="005316F6">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780833" cy="2422365"/>
                  <wp:effectExtent l="19050" t="19050" r="19517" b="1603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783828" cy="2424974"/>
                          </a:xfrm>
                          <a:prstGeom prst="rect">
                            <a:avLst/>
                          </a:prstGeom>
                          <a:solidFill>
                            <a:schemeClr val="accent1"/>
                          </a:solidFill>
                          <a:ln>
                            <a:solidFill>
                              <a:schemeClr val="accent1"/>
                            </a:solidFill>
                          </a:ln>
                        </pic:spPr>
                      </pic:pic>
                    </a:graphicData>
                  </a:graphic>
                </wp:inline>
              </w:drawing>
            </w:r>
            <w:r>
              <w:rPr>
                <w:rFonts w:ascii="Times New Roman" w:hAnsi="Times New Roman" w:cs="Times New Roman"/>
                <w:noProof/>
                <w:sz w:val="24"/>
                <w:szCs w:val="24"/>
                <w:lang w:val="en-US"/>
              </w:rPr>
              <w:drawing>
                <wp:inline distT="0" distB="0" distL="0" distR="0">
                  <wp:extent cx="2806499" cy="2403547"/>
                  <wp:effectExtent l="19050" t="19050" r="12901" b="15803"/>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2824724" cy="2419155"/>
                          </a:xfrm>
                          <a:prstGeom prst="rect">
                            <a:avLst/>
                          </a:prstGeom>
                          <a:solidFill>
                            <a:schemeClr val="accent1"/>
                          </a:solidFill>
                          <a:ln>
                            <a:solidFill>
                              <a:schemeClr val="accent1"/>
                            </a:solidFill>
                          </a:ln>
                        </pic:spPr>
                      </pic:pic>
                    </a:graphicData>
                  </a:graphic>
                </wp:inline>
              </w:drawing>
            </w:r>
          </w:p>
          <w:p w:rsidR="00901254" w:rsidRDefault="009D5494" w:rsidP="005316F6">
            <w:pPr>
              <w:jc w:val="both"/>
              <w:rPr>
                <w:rFonts w:ascii="Times New Roman" w:hAnsi="Times New Roman" w:cs="Times New Roman"/>
                <w:sz w:val="24"/>
                <w:szCs w:val="24"/>
              </w:rPr>
            </w:pPr>
            <w:r w:rsidRPr="009D5494">
              <w:rPr>
                <w:rFonts w:ascii="Times New Roman" w:hAnsi="Times New Roman" w:cs="Times New Roman"/>
                <w:noProof/>
                <w:sz w:val="24"/>
                <w:szCs w:val="24"/>
                <w:lang w:val="en-US"/>
              </w:rPr>
              <w:drawing>
                <wp:inline distT="0" distB="0" distL="0" distR="0">
                  <wp:extent cx="2786548" cy="2311480"/>
                  <wp:effectExtent l="19050" t="19050" r="13802" b="1262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2788626" cy="2313204"/>
                          </a:xfrm>
                          <a:prstGeom prst="rect">
                            <a:avLst/>
                          </a:prstGeom>
                          <a:solidFill>
                            <a:schemeClr val="accent1"/>
                          </a:solidFill>
                          <a:ln>
                            <a:solidFill>
                              <a:schemeClr val="accent1"/>
                            </a:solidFill>
                          </a:ln>
                        </pic:spPr>
                      </pic:pic>
                    </a:graphicData>
                  </a:graphic>
                </wp:inline>
              </w:drawing>
            </w:r>
            <w:r w:rsidRPr="009D5494">
              <w:rPr>
                <w:rFonts w:ascii="Times New Roman" w:hAnsi="Times New Roman" w:cs="Times New Roman"/>
                <w:noProof/>
                <w:sz w:val="24"/>
                <w:szCs w:val="24"/>
                <w:lang w:val="en-US"/>
              </w:rPr>
              <w:drawing>
                <wp:inline distT="0" distB="0" distL="0" distR="0">
                  <wp:extent cx="2804299" cy="2301455"/>
                  <wp:effectExtent l="19050" t="19050" r="15101" b="22645"/>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2826907" cy="2320009"/>
                          </a:xfrm>
                          <a:prstGeom prst="rect">
                            <a:avLst/>
                          </a:prstGeom>
                          <a:solidFill>
                            <a:schemeClr val="accent1"/>
                          </a:solidFill>
                          <a:ln>
                            <a:solidFill>
                              <a:schemeClr val="accent1"/>
                            </a:solidFill>
                          </a:ln>
                        </pic:spPr>
                      </pic:pic>
                    </a:graphicData>
                  </a:graphic>
                </wp:inline>
              </w:drawing>
            </w:r>
          </w:p>
          <w:p w:rsidR="00901254" w:rsidRDefault="00263A39" w:rsidP="005316F6">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816403" cy="2379094"/>
                  <wp:effectExtent l="19050" t="19050" r="22047" b="21206"/>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823971" cy="2385487"/>
                          </a:xfrm>
                          <a:prstGeom prst="rect">
                            <a:avLst/>
                          </a:prstGeom>
                          <a:solidFill>
                            <a:schemeClr val="accent1"/>
                          </a:solidFill>
                          <a:ln>
                            <a:solidFill>
                              <a:schemeClr val="accent1"/>
                            </a:solidFill>
                          </a:ln>
                        </pic:spPr>
                      </pic:pic>
                    </a:graphicData>
                  </a:graphic>
                </wp:inline>
              </w:drawing>
            </w:r>
            <w:r>
              <w:rPr>
                <w:rFonts w:ascii="Times New Roman" w:hAnsi="Times New Roman" w:cs="Times New Roman"/>
                <w:noProof/>
                <w:sz w:val="24"/>
                <w:szCs w:val="24"/>
                <w:lang w:val="en-US"/>
              </w:rPr>
              <w:drawing>
                <wp:inline distT="0" distB="0" distL="0" distR="0">
                  <wp:extent cx="2692511" cy="2337759"/>
                  <wp:effectExtent l="19050" t="19050" r="12589" b="24441"/>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2691472" cy="2336856"/>
                          </a:xfrm>
                          <a:prstGeom prst="rect">
                            <a:avLst/>
                          </a:prstGeom>
                          <a:solidFill>
                            <a:schemeClr val="accent1"/>
                          </a:solidFill>
                          <a:ln>
                            <a:solidFill>
                              <a:schemeClr val="accent1"/>
                            </a:solidFill>
                          </a:ln>
                        </pic:spPr>
                      </pic:pic>
                    </a:graphicData>
                  </a:graphic>
                </wp:inline>
              </w:drawing>
            </w:r>
          </w:p>
        </w:tc>
      </w:tr>
    </w:tbl>
    <w:p w:rsidR="00AF7C1F" w:rsidRDefault="00AF7C1F" w:rsidP="00AF7C1F">
      <w:pPr>
        <w:jc w:val="both"/>
        <w:rPr>
          <w:rFonts w:ascii="Times New Roman" w:hAnsi="Times New Roman" w:cs="Times New Roman"/>
          <w:i/>
          <w:sz w:val="16"/>
          <w:szCs w:val="16"/>
        </w:rPr>
      </w:pPr>
      <w:r w:rsidRPr="00F76663">
        <w:rPr>
          <w:rFonts w:ascii="Times New Roman" w:hAnsi="Times New Roman" w:cs="Times New Roman"/>
          <w:i/>
          <w:sz w:val="16"/>
          <w:szCs w:val="16"/>
        </w:rPr>
        <w:t xml:space="preserve">Извор: </w:t>
      </w:r>
      <w:r>
        <w:rPr>
          <w:rFonts w:ascii="Times New Roman" w:hAnsi="Times New Roman" w:cs="Times New Roman"/>
          <w:i/>
          <w:sz w:val="16"/>
          <w:szCs w:val="16"/>
        </w:rPr>
        <w:t xml:space="preserve">Пресметки на авторот според податоците објавени во: </w:t>
      </w:r>
      <w:r w:rsidRPr="00F76663">
        <w:rPr>
          <w:rFonts w:ascii="Times New Roman" w:hAnsi="Times New Roman" w:cs="Times New Roman"/>
          <w:i/>
          <w:sz w:val="16"/>
          <w:szCs w:val="16"/>
        </w:rPr>
        <w:t>Годишни извештаи за работењето на  АВМУ, РКЕ, и АП  објавени за годините од 2010 до 2019, Годишни извештаи за работењето на АЕК од 2011 до 2019, и Годишни извештаи за работењето на АРЖС и КЗК од 2010  до 2018</w:t>
      </w:r>
    </w:p>
    <w:p w:rsidR="00901254" w:rsidRDefault="002E463B" w:rsidP="005316F6">
      <w:pPr>
        <w:jc w:val="both"/>
        <w:rPr>
          <w:rFonts w:ascii="Times New Roman" w:hAnsi="Times New Roman" w:cs="Times New Roman"/>
          <w:sz w:val="24"/>
          <w:szCs w:val="24"/>
        </w:rPr>
      </w:pPr>
      <w:r>
        <w:rPr>
          <w:rFonts w:ascii="Times New Roman" w:hAnsi="Times New Roman" w:cs="Times New Roman"/>
          <w:sz w:val="24"/>
          <w:szCs w:val="24"/>
        </w:rPr>
        <w:t xml:space="preserve">Кај АВМУ, АЕК и РКЕ во последните неколку години од анализираниот период доаѓа до отстапување на приходите во однос на расходите, што се должи пред сѐ на планираните </w:t>
      </w:r>
      <w:r w:rsidR="00450AF2">
        <w:rPr>
          <w:rFonts w:ascii="Times New Roman" w:hAnsi="Times New Roman" w:cs="Times New Roman"/>
          <w:sz w:val="24"/>
          <w:szCs w:val="24"/>
        </w:rPr>
        <w:t>и започнати капитални инвестиции.</w:t>
      </w:r>
    </w:p>
    <w:p w:rsidR="001C5670" w:rsidRDefault="001C5670" w:rsidP="005316F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Финансиската одржливост во голема мера ја определува и оперативната моќ на регулаторното тело. </w:t>
      </w:r>
      <w:r w:rsidR="00935AF8">
        <w:rPr>
          <w:rFonts w:ascii="Times New Roman" w:hAnsi="Times New Roman" w:cs="Times New Roman"/>
          <w:sz w:val="24"/>
          <w:szCs w:val="24"/>
        </w:rPr>
        <w:t>Но исто така, од н</w:t>
      </w:r>
      <w:r>
        <w:rPr>
          <w:rFonts w:ascii="Times New Roman" w:hAnsi="Times New Roman" w:cs="Times New Roman"/>
          <w:sz w:val="24"/>
          <w:szCs w:val="24"/>
        </w:rPr>
        <w:t xml:space="preserve">ачинот на кој се трошат приходите, </w:t>
      </w:r>
      <w:r w:rsidR="00935AF8">
        <w:rPr>
          <w:rFonts w:ascii="Times New Roman" w:hAnsi="Times New Roman" w:cs="Times New Roman"/>
          <w:sz w:val="24"/>
          <w:szCs w:val="24"/>
        </w:rPr>
        <w:t>се согледува</w:t>
      </w:r>
      <w:r>
        <w:rPr>
          <w:rFonts w:ascii="Times New Roman" w:hAnsi="Times New Roman" w:cs="Times New Roman"/>
          <w:sz w:val="24"/>
          <w:szCs w:val="24"/>
        </w:rPr>
        <w:t xml:space="preserve"> и прудентното однесување на регулаторот. Така графиконот 5 прави приказ на структурата на расходната страна. Пресметаната структура го претставува просечното учество на соодветната категорија за трошок за анализираниот период.</w:t>
      </w:r>
    </w:p>
    <w:p w:rsidR="001C5670" w:rsidRDefault="001C5670" w:rsidP="001C5670">
      <w:pPr>
        <w:jc w:val="center"/>
        <w:rPr>
          <w:rFonts w:ascii="Times New Roman" w:hAnsi="Times New Roman" w:cs="Times New Roman"/>
          <w:b/>
          <w:sz w:val="24"/>
          <w:szCs w:val="24"/>
        </w:rPr>
      </w:pPr>
      <w:r w:rsidRPr="00AF7C1F">
        <w:rPr>
          <w:rFonts w:ascii="Times New Roman" w:hAnsi="Times New Roman" w:cs="Times New Roman"/>
          <w:b/>
          <w:sz w:val="24"/>
          <w:szCs w:val="24"/>
        </w:rPr>
        <w:t xml:space="preserve">Графикон </w:t>
      </w:r>
      <w:r>
        <w:rPr>
          <w:rFonts w:ascii="Times New Roman" w:hAnsi="Times New Roman" w:cs="Times New Roman"/>
          <w:b/>
          <w:sz w:val="24"/>
          <w:szCs w:val="24"/>
        </w:rPr>
        <w:t>5</w:t>
      </w:r>
      <w:r w:rsidRPr="00AF7C1F">
        <w:rPr>
          <w:rFonts w:ascii="Times New Roman" w:hAnsi="Times New Roman" w:cs="Times New Roman"/>
          <w:b/>
          <w:sz w:val="24"/>
          <w:szCs w:val="24"/>
        </w:rPr>
        <w:t xml:space="preserve">: </w:t>
      </w:r>
      <w:r>
        <w:rPr>
          <w:rFonts w:ascii="Times New Roman" w:hAnsi="Times New Roman" w:cs="Times New Roman"/>
          <w:b/>
          <w:sz w:val="24"/>
          <w:szCs w:val="24"/>
        </w:rPr>
        <w:t>Структура на расходите на</w:t>
      </w:r>
      <w:r w:rsidRPr="00E22F75">
        <w:rPr>
          <w:rFonts w:ascii="Times New Roman" w:hAnsi="Times New Roman" w:cs="Times New Roman"/>
          <w:b/>
          <w:sz w:val="24"/>
          <w:szCs w:val="24"/>
        </w:rPr>
        <w:t xml:space="preserve"> АЕК, АВМУ, РКЕ, АП, АРЖС И КЗК во периодот (2010-201</w:t>
      </w:r>
      <w:r w:rsidR="00BE169A">
        <w:rPr>
          <w:rFonts w:ascii="Times New Roman" w:hAnsi="Times New Roman" w:cs="Times New Roman"/>
          <w:b/>
          <w:sz w:val="24"/>
          <w:szCs w:val="24"/>
        </w:rPr>
        <w:t>9</w:t>
      </w:r>
      <w:r w:rsidRPr="00E22F75">
        <w:rPr>
          <w:rFonts w:ascii="Times New Roman" w:hAnsi="Times New Roman" w:cs="Times New Roman"/>
          <w:b/>
          <w:sz w:val="24"/>
          <w:szCs w:val="24"/>
        </w:rPr>
        <w:t xml:space="preserve"> година, </w:t>
      </w:r>
      <w:r>
        <w:rPr>
          <w:rFonts w:ascii="Times New Roman" w:hAnsi="Times New Roman" w:cs="Times New Roman"/>
          <w:b/>
          <w:sz w:val="24"/>
          <w:szCs w:val="24"/>
        </w:rPr>
        <w:t>просечно процентуално учество</w:t>
      </w:r>
      <w:r w:rsidRPr="00E22F75">
        <w:rPr>
          <w:rFonts w:ascii="Times New Roman" w:hAnsi="Times New Roman" w:cs="Times New Roman"/>
          <w:b/>
          <w:sz w:val="24"/>
          <w:szCs w:val="24"/>
        </w:rPr>
        <w:t>)</w:t>
      </w:r>
    </w:p>
    <w:tbl>
      <w:tblPr>
        <w:tblStyle w:val="TableGrid"/>
        <w:tblW w:w="0" w:type="auto"/>
        <w:tblInd w:w="108" w:type="dxa"/>
        <w:tblLook w:val="04A0" w:firstRow="1" w:lastRow="0" w:firstColumn="1" w:lastColumn="0" w:noHBand="0" w:noVBand="1"/>
      </w:tblPr>
      <w:tblGrid>
        <w:gridCol w:w="9134"/>
      </w:tblGrid>
      <w:tr w:rsidR="00EB2956" w:rsidTr="00A06309">
        <w:trPr>
          <w:trHeight w:val="2749"/>
        </w:trPr>
        <w:tc>
          <w:tcPr>
            <w:tcW w:w="9134" w:type="dxa"/>
          </w:tcPr>
          <w:p w:rsidR="00EB2956" w:rsidRPr="007B001A" w:rsidRDefault="007B001A" w:rsidP="007B001A">
            <w:pPr>
              <w:jc w:val="center"/>
              <w:rPr>
                <w:rFonts w:ascii="Times New Roman" w:hAnsi="Times New Roman" w:cs="Times New Roman"/>
                <w:b/>
                <w:sz w:val="20"/>
                <w:szCs w:val="20"/>
              </w:rPr>
            </w:pPr>
            <w:r w:rsidRPr="007B001A">
              <w:rPr>
                <w:rFonts w:ascii="Times New Roman" w:hAnsi="Times New Roman" w:cs="Times New Roman"/>
                <w:b/>
                <w:sz w:val="20"/>
                <w:szCs w:val="20"/>
              </w:rPr>
              <w:t>АЕК</w:t>
            </w:r>
          </w:p>
          <w:p w:rsidR="007B001A" w:rsidRPr="007B001A" w:rsidRDefault="007B001A" w:rsidP="007B001A">
            <w:pPr>
              <w:jc w:val="center"/>
              <w:rPr>
                <w:rFonts w:ascii="Times New Roman" w:hAnsi="Times New Roman" w:cs="Times New Roman"/>
                <w:sz w:val="20"/>
                <w:szCs w:val="20"/>
                <w:highlight w:val="yellow"/>
              </w:rPr>
            </w:pPr>
            <w:r>
              <w:rPr>
                <w:rFonts w:ascii="Times New Roman" w:hAnsi="Times New Roman" w:cs="Times New Roman"/>
                <w:noProof/>
                <w:sz w:val="20"/>
                <w:szCs w:val="20"/>
                <w:lang w:val="en-US"/>
              </w:rPr>
              <w:drawing>
                <wp:inline distT="0" distB="0" distL="0" distR="0">
                  <wp:extent cx="4892857" cy="1490572"/>
                  <wp:effectExtent l="19050" t="19050" r="22043" b="14378"/>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4902994" cy="1493660"/>
                          </a:xfrm>
                          <a:prstGeom prst="rect">
                            <a:avLst/>
                          </a:prstGeom>
                          <a:solidFill>
                            <a:schemeClr val="accent1"/>
                          </a:solidFill>
                          <a:ln>
                            <a:solidFill>
                              <a:schemeClr val="accent1"/>
                            </a:solidFill>
                          </a:ln>
                        </pic:spPr>
                      </pic:pic>
                    </a:graphicData>
                  </a:graphic>
                </wp:inline>
              </w:drawing>
            </w:r>
          </w:p>
        </w:tc>
      </w:tr>
      <w:tr w:rsidR="00EB2956" w:rsidTr="00A06309">
        <w:trPr>
          <w:trHeight w:val="2688"/>
        </w:trPr>
        <w:tc>
          <w:tcPr>
            <w:tcW w:w="9134" w:type="dxa"/>
          </w:tcPr>
          <w:p w:rsidR="00EB2956" w:rsidRPr="007B001A" w:rsidRDefault="007B001A" w:rsidP="007B001A">
            <w:pPr>
              <w:jc w:val="center"/>
              <w:rPr>
                <w:rFonts w:ascii="Times New Roman" w:hAnsi="Times New Roman" w:cs="Times New Roman"/>
                <w:b/>
                <w:sz w:val="20"/>
                <w:szCs w:val="20"/>
              </w:rPr>
            </w:pPr>
            <w:r w:rsidRPr="007B001A">
              <w:rPr>
                <w:rFonts w:ascii="Times New Roman" w:hAnsi="Times New Roman" w:cs="Times New Roman"/>
                <w:b/>
                <w:sz w:val="20"/>
                <w:szCs w:val="20"/>
              </w:rPr>
              <w:t>АВМУ</w:t>
            </w:r>
          </w:p>
          <w:p w:rsidR="007B001A" w:rsidRDefault="007B001A" w:rsidP="007B001A">
            <w:pPr>
              <w:jc w:val="center"/>
              <w:rPr>
                <w:rFonts w:ascii="Times New Roman" w:hAnsi="Times New Roman" w:cs="Times New Roman"/>
                <w:sz w:val="24"/>
                <w:szCs w:val="24"/>
                <w:highlight w:val="yellow"/>
              </w:rPr>
            </w:pPr>
            <w:r>
              <w:rPr>
                <w:rFonts w:ascii="Times New Roman" w:hAnsi="Times New Roman" w:cs="Times New Roman"/>
                <w:noProof/>
                <w:sz w:val="24"/>
                <w:szCs w:val="24"/>
                <w:lang w:val="en-US"/>
              </w:rPr>
              <w:drawing>
                <wp:inline distT="0" distB="0" distL="0" distR="0">
                  <wp:extent cx="4871571" cy="1457864"/>
                  <wp:effectExtent l="19050" t="19050" r="24279" b="28036"/>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4877379" cy="1459602"/>
                          </a:xfrm>
                          <a:prstGeom prst="rect">
                            <a:avLst/>
                          </a:prstGeom>
                          <a:solidFill>
                            <a:schemeClr val="accent1"/>
                          </a:solidFill>
                          <a:ln>
                            <a:solidFill>
                              <a:schemeClr val="accent1"/>
                            </a:solidFill>
                          </a:ln>
                        </pic:spPr>
                      </pic:pic>
                    </a:graphicData>
                  </a:graphic>
                </wp:inline>
              </w:drawing>
            </w:r>
          </w:p>
          <w:p w:rsidR="007B001A" w:rsidRDefault="007B001A" w:rsidP="005316F6">
            <w:pPr>
              <w:jc w:val="both"/>
              <w:rPr>
                <w:rFonts w:ascii="Times New Roman" w:hAnsi="Times New Roman" w:cs="Times New Roman"/>
                <w:sz w:val="24"/>
                <w:szCs w:val="24"/>
                <w:highlight w:val="yellow"/>
              </w:rPr>
            </w:pPr>
          </w:p>
        </w:tc>
      </w:tr>
      <w:tr w:rsidR="00EB2956" w:rsidTr="00A06309">
        <w:trPr>
          <w:trHeight w:val="3198"/>
        </w:trPr>
        <w:tc>
          <w:tcPr>
            <w:tcW w:w="9134" w:type="dxa"/>
          </w:tcPr>
          <w:p w:rsidR="00EB2956" w:rsidRPr="00BD4BBB" w:rsidRDefault="00BD4BBB" w:rsidP="00BD4BBB">
            <w:pPr>
              <w:jc w:val="center"/>
              <w:rPr>
                <w:rFonts w:ascii="Times New Roman" w:hAnsi="Times New Roman" w:cs="Times New Roman"/>
                <w:b/>
                <w:sz w:val="20"/>
                <w:szCs w:val="20"/>
              </w:rPr>
            </w:pPr>
            <w:r w:rsidRPr="00BD4BBB">
              <w:rPr>
                <w:rFonts w:ascii="Times New Roman" w:hAnsi="Times New Roman" w:cs="Times New Roman"/>
                <w:b/>
                <w:sz w:val="20"/>
                <w:szCs w:val="20"/>
              </w:rPr>
              <w:t>РКЕ</w:t>
            </w:r>
          </w:p>
          <w:p w:rsidR="00BD4BBB" w:rsidRPr="00BD4BBB" w:rsidRDefault="00BD4BBB" w:rsidP="00BD4BBB">
            <w:pPr>
              <w:jc w:val="center"/>
              <w:rPr>
                <w:rFonts w:ascii="Times New Roman" w:hAnsi="Times New Roman" w:cs="Times New Roman"/>
                <w:b/>
                <w:sz w:val="20"/>
                <w:szCs w:val="20"/>
                <w:highlight w:val="yellow"/>
              </w:rPr>
            </w:pPr>
            <w:r>
              <w:rPr>
                <w:rFonts w:ascii="Times New Roman" w:hAnsi="Times New Roman" w:cs="Times New Roman"/>
                <w:b/>
                <w:noProof/>
                <w:sz w:val="20"/>
                <w:szCs w:val="20"/>
                <w:lang w:val="en-US"/>
              </w:rPr>
              <w:drawing>
                <wp:inline distT="0" distB="0" distL="0" distR="0">
                  <wp:extent cx="4886840" cy="1672751"/>
                  <wp:effectExtent l="19050" t="19050" r="28060" b="22699"/>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4889620" cy="1673702"/>
                          </a:xfrm>
                          <a:prstGeom prst="rect">
                            <a:avLst/>
                          </a:prstGeom>
                          <a:solidFill>
                            <a:schemeClr val="accent1"/>
                          </a:solidFill>
                          <a:ln>
                            <a:solidFill>
                              <a:schemeClr val="accent1"/>
                            </a:solidFill>
                          </a:ln>
                        </pic:spPr>
                      </pic:pic>
                    </a:graphicData>
                  </a:graphic>
                </wp:inline>
              </w:drawing>
            </w:r>
          </w:p>
        </w:tc>
      </w:tr>
      <w:tr w:rsidR="007B001A" w:rsidTr="00A06309">
        <w:trPr>
          <w:trHeight w:val="2124"/>
        </w:trPr>
        <w:tc>
          <w:tcPr>
            <w:tcW w:w="9134" w:type="dxa"/>
          </w:tcPr>
          <w:p w:rsidR="00BE169A" w:rsidRDefault="00E22942" w:rsidP="00BE169A">
            <w:pPr>
              <w:jc w:val="center"/>
              <w:rPr>
                <w:rFonts w:ascii="Times New Roman" w:hAnsi="Times New Roman" w:cs="Times New Roman"/>
                <w:b/>
                <w:sz w:val="20"/>
                <w:szCs w:val="20"/>
              </w:rPr>
            </w:pPr>
            <w:r w:rsidRPr="00E22942">
              <w:rPr>
                <w:rFonts w:ascii="Times New Roman" w:hAnsi="Times New Roman" w:cs="Times New Roman"/>
                <w:b/>
                <w:sz w:val="20"/>
                <w:szCs w:val="20"/>
              </w:rPr>
              <w:t>АП</w:t>
            </w:r>
          </w:p>
          <w:p w:rsidR="00E22942" w:rsidRDefault="00BE169A" w:rsidP="00E22942">
            <w:pPr>
              <w:jc w:val="center"/>
              <w:rPr>
                <w:rFonts w:ascii="Times New Roman" w:hAnsi="Times New Roman" w:cs="Times New Roman"/>
                <w:b/>
                <w:sz w:val="20"/>
                <w:szCs w:val="20"/>
                <w:highlight w:val="yellow"/>
              </w:rPr>
            </w:pPr>
            <w:r>
              <w:rPr>
                <w:rFonts w:ascii="Times New Roman" w:hAnsi="Times New Roman" w:cs="Times New Roman"/>
                <w:b/>
                <w:noProof/>
                <w:sz w:val="20"/>
                <w:szCs w:val="20"/>
                <w:lang w:val="en-US"/>
              </w:rPr>
              <w:lastRenderedPageBreak/>
              <w:drawing>
                <wp:inline distT="0" distB="0" distL="0" distR="0">
                  <wp:extent cx="4600371" cy="1526242"/>
                  <wp:effectExtent l="19050" t="19050" r="9729" b="16808"/>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4609881" cy="1529397"/>
                          </a:xfrm>
                          <a:prstGeom prst="rect">
                            <a:avLst/>
                          </a:prstGeom>
                          <a:solidFill>
                            <a:schemeClr val="accent1"/>
                          </a:solidFill>
                          <a:ln>
                            <a:solidFill>
                              <a:schemeClr val="accent1"/>
                            </a:solidFill>
                          </a:ln>
                        </pic:spPr>
                      </pic:pic>
                    </a:graphicData>
                  </a:graphic>
                </wp:inline>
              </w:drawing>
            </w:r>
          </w:p>
          <w:p w:rsidR="00BE169A" w:rsidRPr="00E22942" w:rsidRDefault="00BE169A" w:rsidP="00E22942">
            <w:pPr>
              <w:jc w:val="center"/>
              <w:rPr>
                <w:rFonts w:ascii="Times New Roman" w:hAnsi="Times New Roman" w:cs="Times New Roman"/>
                <w:b/>
                <w:sz w:val="20"/>
                <w:szCs w:val="20"/>
                <w:highlight w:val="yellow"/>
              </w:rPr>
            </w:pPr>
          </w:p>
        </w:tc>
      </w:tr>
      <w:tr w:rsidR="007B001A" w:rsidTr="00A06309">
        <w:trPr>
          <w:trHeight w:val="2537"/>
        </w:trPr>
        <w:tc>
          <w:tcPr>
            <w:tcW w:w="9134" w:type="dxa"/>
          </w:tcPr>
          <w:p w:rsidR="007B001A" w:rsidRDefault="00BE169A" w:rsidP="00BE169A">
            <w:pPr>
              <w:jc w:val="center"/>
              <w:rPr>
                <w:rFonts w:ascii="Times New Roman" w:hAnsi="Times New Roman" w:cs="Times New Roman"/>
                <w:b/>
                <w:sz w:val="20"/>
                <w:szCs w:val="20"/>
              </w:rPr>
            </w:pPr>
            <w:r w:rsidRPr="00BE169A">
              <w:rPr>
                <w:rFonts w:ascii="Times New Roman" w:hAnsi="Times New Roman" w:cs="Times New Roman"/>
                <w:b/>
                <w:sz w:val="20"/>
                <w:szCs w:val="20"/>
              </w:rPr>
              <w:lastRenderedPageBreak/>
              <w:t>АРЖС</w:t>
            </w:r>
          </w:p>
          <w:p w:rsidR="00BE169A" w:rsidRDefault="00BE169A" w:rsidP="00BE169A">
            <w:pPr>
              <w:jc w:val="center"/>
              <w:rPr>
                <w:rFonts w:ascii="Times New Roman" w:hAnsi="Times New Roman" w:cs="Times New Roman"/>
                <w:b/>
                <w:sz w:val="20"/>
                <w:szCs w:val="20"/>
                <w:highlight w:val="yellow"/>
              </w:rPr>
            </w:pPr>
            <w:r>
              <w:rPr>
                <w:rFonts w:ascii="Times New Roman" w:hAnsi="Times New Roman" w:cs="Times New Roman"/>
                <w:b/>
                <w:noProof/>
                <w:sz w:val="20"/>
                <w:szCs w:val="20"/>
                <w:lang w:val="en-US"/>
              </w:rPr>
              <w:drawing>
                <wp:inline distT="0" distB="0" distL="0" distR="0">
                  <wp:extent cx="4733841" cy="1699403"/>
                  <wp:effectExtent l="19050" t="19050" r="9609" b="15097"/>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4733618" cy="1699323"/>
                          </a:xfrm>
                          <a:prstGeom prst="rect">
                            <a:avLst/>
                          </a:prstGeom>
                          <a:solidFill>
                            <a:schemeClr val="accent1"/>
                          </a:solidFill>
                          <a:ln>
                            <a:solidFill>
                              <a:schemeClr val="accent1"/>
                            </a:solidFill>
                          </a:ln>
                        </pic:spPr>
                      </pic:pic>
                    </a:graphicData>
                  </a:graphic>
                </wp:inline>
              </w:drawing>
            </w:r>
          </w:p>
          <w:p w:rsidR="00BE169A" w:rsidRPr="00BE169A" w:rsidRDefault="00BE169A" w:rsidP="00BE169A">
            <w:pPr>
              <w:jc w:val="center"/>
              <w:rPr>
                <w:rFonts w:ascii="Times New Roman" w:hAnsi="Times New Roman" w:cs="Times New Roman"/>
                <w:b/>
                <w:sz w:val="20"/>
                <w:szCs w:val="20"/>
                <w:highlight w:val="yellow"/>
              </w:rPr>
            </w:pPr>
          </w:p>
        </w:tc>
      </w:tr>
      <w:tr w:rsidR="007B001A" w:rsidTr="00A06309">
        <w:trPr>
          <w:trHeight w:val="2313"/>
        </w:trPr>
        <w:tc>
          <w:tcPr>
            <w:tcW w:w="9134" w:type="dxa"/>
          </w:tcPr>
          <w:p w:rsidR="007B001A" w:rsidRDefault="00BE169A" w:rsidP="00BE169A">
            <w:pPr>
              <w:jc w:val="center"/>
              <w:rPr>
                <w:rFonts w:ascii="Times New Roman" w:hAnsi="Times New Roman" w:cs="Times New Roman"/>
                <w:b/>
                <w:sz w:val="20"/>
                <w:szCs w:val="20"/>
              </w:rPr>
            </w:pPr>
            <w:r w:rsidRPr="00BE169A">
              <w:rPr>
                <w:rFonts w:ascii="Times New Roman" w:hAnsi="Times New Roman" w:cs="Times New Roman"/>
                <w:b/>
                <w:sz w:val="20"/>
                <w:szCs w:val="20"/>
              </w:rPr>
              <w:t>КЗК</w:t>
            </w:r>
          </w:p>
          <w:p w:rsidR="00BE169A" w:rsidRDefault="005D016E" w:rsidP="00BE169A">
            <w:pPr>
              <w:jc w:val="center"/>
              <w:rPr>
                <w:rFonts w:ascii="Times New Roman" w:hAnsi="Times New Roman" w:cs="Times New Roman"/>
                <w:b/>
                <w:sz w:val="20"/>
                <w:szCs w:val="20"/>
                <w:highlight w:val="yellow"/>
              </w:rPr>
            </w:pPr>
            <w:r>
              <w:rPr>
                <w:rFonts w:ascii="Times New Roman" w:hAnsi="Times New Roman" w:cs="Times New Roman"/>
                <w:b/>
                <w:noProof/>
                <w:sz w:val="20"/>
                <w:szCs w:val="20"/>
                <w:lang w:val="en-US"/>
              </w:rPr>
              <w:drawing>
                <wp:inline distT="0" distB="0" distL="0" distR="0">
                  <wp:extent cx="4708225" cy="1794294"/>
                  <wp:effectExtent l="19050" t="19050" r="16175" b="15456"/>
                  <wp:docPr id="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4710202" cy="1795047"/>
                          </a:xfrm>
                          <a:prstGeom prst="rect">
                            <a:avLst/>
                          </a:prstGeom>
                          <a:solidFill>
                            <a:schemeClr val="accent1"/>
                          </a:solidFill>
                          <a:ln>
                            <a:solidFill>
                              <a:schemeClr val="accent1"/>
                            </a:solidFill>
                          </a:ln>
                        </pic:spPr>
                      </pic:pic>
                    </a:graphicData>
                  </a:graphic>
                </wp:inline>
              </w:drawing>
            </w:r>
          </w:p>
          <w:p w:rsidR="005D016E" w:rsidRPr="00BE169A" w:rsidRDefault="005D016E" w:rsidP="00BE169A">
            <w:pPr>
              <w:jc w:val="center"/>
              <w:rPr>
                <w:rFonts w:ascii="Times New Roman" w:hAnsi="Times New Roman" w:cs="Times New Roman"/>
                <w:b/>
                <w:sz w:val="20"/>
                <w:szCs w:val="20"/>
                <w:highlight w:val="yellow"/>
              </w:rPr>
            </w:pPr>
          </w:p>
        </w:tc>
      </w:tr>
    </w:tbl>
    <w:p w:rsidR="00765A3D" w:rsidRDefault="00765A3D" w:rsidP="00765A3D">
      <w:pPr>
        <w:jc w:val="both"/>
        <w:rPr>
          <w:rFonts w:ascii="Times New Roman" w:hAnsi="Times New Roman" w:cs="Times New Roman"/>
          <w:i/>
          <w:sz w:val="16"/>
          <w:szCs w:val="16"/>
        </w:rPr>
      </w:pPr>
      <w:r w:rsidRPr="00F76663">
        <w:rPr>
          <w:rFonts w:ascii="Times New Roman" w:hAnsi="Times New Roman" w:cs="Times New Roman"/>
          <w:i/>
          <w:sz w:val="16"/>
          <w:szCs w:val="16"/>
        </w:rPr>
        <w:t xml:space="preserve">Извор: </w:t>
      </w:r>
      <w:r>
        <w:rPr>
          <w:rFonts w:ascii="Times New Roman" w:hAnsi="Times New Roman" w:cs="Times New Roman"/>
          <w:i/>
          <w:sz w:val="16"/>
          <w:szCs w:val="16"/>
        </w:rPr>
        <w:t xml:space="preserve">Пресметки на авторот според податоците објавени во: </w:t>
      </w:r>
      <w:r w:rsidRPr="00F76663">
        <w:rPr>
          <w:rFonts w:ascii="Times New Roman" w:hAnsi="Times New Roman" w:cs="Times New Roman"/>
          <w:i/>
          <w:sz w:val="16"/>
          <w:szCs w:val="16"/>
        </w:rPr>
        <w:t>Годишни извештаи за работењето на  АВМУ, РКЕ, и АП  објавени за годините од 2010 до 2019, Годишни извештаи за работењето на АЕК од 2011 до 2019, и Годишни извештаи за работењето на АРЖС и КЗК од 2010  до 2018</w:t>
      </w:r>
    </w:p>
    <w:p w:rsidR="00901254" w:rsidRDefault="00935AF8" w:rsidP="005316F6">
      <w:pPr>
        <w:jc w:val="both"/>
        <w:rPr>
          <w:rFonts w:ascii="Times New Roman" w:hAnsi="Times New Roman" w:cs="Times New Roman"/>
          <w:sz w:val="24"/>
          <w:szCs w:val="24"/>
        </w:rPr>
      </w:pPr>
      <w:r w:rsidRPr="00935AF8">
        <w:rPr>
          <w:rFonts w:ascii="Times New Roman" w:hAnsi="Times New Roman" w:cs="Times New Roman"/>
          <w:sz w:val="24"/>
          <w:szCs w:val="24"/>
        </w:rPr>
        <w:t xml:space="preserve">Според </w:t>
      </w:r>
      <w:r>
        <w:rPr>
          <w:rFonts w:ascii="Times New Roman" w:hAnsi="Times New Roman" w:cs="Times New Roman"/>
          <w:sz w:val="24"/>
          <w:szCs w:val="24"/>
        </w:rPr>
        <w:t xml:space="preserve">приказите во Графиконот 5, јасно се гледа дека </w:t>
      </w:r>
      <w:r w:rsidR="003D2F41">
        <w:rPr>
          <w:rFonts w:ascii="Times New Roman" w:hAnsi="Times New Roman" w:cs="Times New Roman"/>
          <w:sz w:val="24"/>
          <w:szCs w:val="24"/>
        </w:rPr>
        <w:t>најбаланисрана структура на расходи прикажува АЕК, каде доминираат трошоците за капитални инвестиции со 30,94%, трошоците за плати 26,29% додека трошоците за интелектуални услуги со 9,74 %. Релативно добра структура има и АВМУ, кај која доминираат расходите по  основ на плати (со 43,37%), и оваа институција бележи мали трошоци по капитални инвестиции. Кај останатите анализирани регулаторни институции значаен дел од расходите припаѓа на трошоци по основ на плати. Освен кај КЗК, каде над 80% од расходите на институцијата се направени по основ на трошоци за плати</w:t>
      </w:r>
      <w:r w:rsidR="001F212A">
        <w:rPr>
          <w:rFonts w:ascii="Times New Roman" w:hAnsi="Times New Roman" w:cs="Times New Roman"/>
          <w:sz w:val="24"/>
          <w:szCs w:val="24"/>
        </w:rPr>
        <w:t xml:space="preserve">, со што повторно се докажува нејзината финансиска немоќ, и институционална импотентност и ограниченост. Анализата на структурата на расходите кај АП и АРЖС укажува дека значаен дел од нивните расходи се направени по основ на трошоци за исплата на </w:t>
      </w:r>
      <w:r w:rsidR="001F212A">
        <w:rPr>
          <w:rFonts w:ascii="Times New Roman" w:hAnsi="Times New Roman" w:cs="Times New Roman"/>
          <w:sz w:val="24"/>
          <w:szCs w:val="24"/>
        </w:rPr>
        <w:lastRenderedPageBreak/>
        <w:t>интелектуални услуги (повеќе кратно повисоки од трошоците за капитални инвестиции за АРЖС 11,90% во споредба со 5,56%; за АП 21,29% во споредба со 1,98%).</w:t>
      </w:r>
    </w:p>
    <w:p w:rsidR="005316F6" w:rsidRPr="00370424" w:rsidRDefault="005316F6" w:rsidP="005316F6">
      <w:pPr>
        <w:jc w:val="both"/>
        <w:rPr>
          <w:rFonts w:ascii="Times New Roman" w:hAnsi="Times New Roman" w:cs="Times New Roman"/>
          <w:sz w:val="24"/>
          <w:szCs w:val="24"/>
        </w:rPr>
      </w:pPr>
      <w:r w:rsidRPr="00370424">
        <w:rPr>
          <w:rFonts w:ascii="Times New Roman" w:hAnsi="Times New Roman" w:cs="Times New Roman"/>
          <w:sz w:val="24"/>
          <w:szCs w:val="24"/>
        </w:rPr>
        <w:t xml:space="preserve">Слабата политичка волја за изградба на ефикасни и регулатони институции се огледа и во фактот што распределбата на директорските позиции во овие институции е дел од меѓупартиските преговарања во делењето на позициите на власта меѓу победничките партии, притоа сосема заборавајќи го прашањето на стручност и компетентност. Како исклучок од оваа пракса може, како позитивен пример може да ги издвоиме АВМУ, РКЕ и АЕК, кои воедно се институции кои остваруваат релативно добри резултати во делот на </w:t>
      </w:r>
      <w:r w:rsidRPr="00370424">
        <w:rPr>
          <w:rFonts w:ascii="Times New Roman" w:hAnsi="Times New Roman" w:cs="Times New Roman"/>
          <w:sz w:val="24"/>
          <w:szCs w:val="24"/>
          <w:lang w:val="en-US"/>
        </w:rPr>
        <w:t xml:space="preserve">ex-ante </w:t>
      </w:r>
      <w:r w:rsidRPr="00370424">
        <w:rPr>
          <w:rFonts w:ascii="Times New Roman" w:hAnsi="Times New Roman" w:cs="Times New Roman"/>
          <w:sz w:val="24"/>
          <w:szCs w:val="24"/>
        </w:rPr>
        <w:t xml:space="preserve">регулацијата во последните неколку години. Меѓутоа останува загрижувачки фактот што во рамки на партиски програми за парламентарни избори се наведуваат проекти со кои се врши директен атак врз работата на овие институции (во смисла </w:t>
      </w:r>
      <w:r w:rsidR="001F212A" w:rsidRPr="00370424">
        <w:rPr>
          <w:rFonts w:ascii="Times New Roman" w:hAnsi="Times New Roman" w:cs="Times New Roman"/>
          <w:sz w:val="24"/>
          <w:szCs w:val="24"/>
        </w:rPr>
        <w:t xml:space="preserve">за </w:t>
      </w:r>
      <w:r w:rsidRPr="00370424">
        <w:rPr>
          <w:rFonts w:ascii="Times New Roman" w:hAnsi="Times New Roman" w:cs="Times New Roman"/>
          <w:sz w:val="24"/>
          <w:szCs w:val="24"/>
        </w:rPr>
        <w:t>барање за пренасочување на слободните финаниски средства од овие институции за реализација на идни проекти во мандатниот период на партијата, доколку таа ја добие власта). На ваков начин директно се подрива независноста на менаџментот на овие регулаторни тела.</w:t>
      </w:r>
    </w:p>
    <w:p w:rsidR="005316F6" w:rsidRDefault="005316F6" w:rsidP="005D1186">
      <w:pPr>
        <w:jc w:val="both"/>
        <w:rPr>
          <w:rFonts w:ascii="Times New Roman" w:hAnsi="Times New Roman" w:cs="Times New Roman"/>
          <w:sz w:val="24"/>
          <w:szCs w:val="24"/>
        </w:rPr>
      </w:pPr>
      <w:r w:rsidRPr="00370424">
        <w:rPr>
          <w:rFonts w:ascii="Times New Roman" w:hAnsi="Times New Roman" w:cs="Times New Roman"/>
          <w:sz w:val="24"/>
          <w:szCs w:val="24"/>
        </w:rPr>
        <w:t>Принципот на независност врз менаџментот исто така е нарушен и од страна на компаниите кои се предмет на регулација од страна на овие регулаторни агенции. Преку разни форми на ’преговарање’ компаниите скоро секогаш успеваат да издејствуваат мерки кои се во нивна корист. Во досегашната историја на македонската економија свежи се сеќавањата на одложување на либерализацијата на пазарот на телекомуникации, на пазарот на енергетика, користење на методологии за контрола и регулација на цени</w:t>
      </w:r>
      <w:r w:rsidR="000334AC">
        <w:rPr>
          <w:rFonts w:ascii="Times New Roman" w:hAnsi="Times New Roman" w:cs="Times New Roman"/>
          <w:sz w:val="24"/>
          <w:szCs w:val="24"/>
        </w:rPr>
        <w:t xml:space="preserve"> на</w:t>
      </w:r>
      <w:r w:rsidRPr="00370424">
        <w:rPr>
          <w:rFonts w:ascii="Times New Roman" w:hAnsi="Times New Roman" w:cs="Times New Roman"/>
          <w:sz w:val="24"/>
          <w:szCs w:val="24"/>
        </w:rPr>
        <w:t xml:space="preserve"> услуги кои одат во прилог на фирмите кои ги произведуваат тие услуги и сл.). Значи принципот на независност е нарушен и од страна на владејачките партии и креатори на политиката и од страна на компаниите (школски пример на ’уловени регулатори’).</w:t>
      </w:r>
    </w:p>
    <w:p w:rsidR="001F212A" w:rsidRDefault="00370424" w:rsidP="00322F78">
      <w:pPr>
        <w:jc w:val="both"/>
        <w:rPr>
          <w:rFonts w:ascii="Times New Roman" w:hAnsi="Times New Roman" w:cs="Times New Roman"/>
          <w:sz w:val="24"/>
          <w:szCs w:val="24"/>
        </w:rPr>
      </w:pPr>
      <w:r>
        <w:rPr>
          <w:rFonts w:ascii="Times New Roman" w:hAnsi="Times New Roman" w:cs="Times New Roman"/>
          <w:sz w:val="24"/>
          <w:szCs w:val="24"/>
        </w:rPr>
        <w:t xml:space="preserve">Во однос на кадровската екипираниот состојбата се разликува од регулатор </w:t>
      </w:r>
      <w:r w:rsidR="0014344B">
        <w:rPr>
          <w:rFonts w:ascii="Times New Roman" w:hAnsi="Times New Roman" w:cs="Times New Roman"/>
          <w:sz w:val="24"/>
          <w:szCs w:val="24"/>
        </w:rPr>
        <w:t>до</w:t>
      </w:r>
      <w:r>
        <w:rPr>
          <w:rFonts w:ascii="Times New Roman" w:hAnsi="Times New Roman" w:cs="Times New Roman"/>
          <w:sz w:val="24"/>
          <w:szCs w:val="24"/>
        </w:rPr>
        <w:t xml:space="preserve"> регулатор. Табелата 2 ги прикажува бројот на вработени согласно последно објавен јавен податок:</w:t>
      </w:r>
    </w:p>
    <w:tbl>
      <w:tblPr>
        <w:tblStyle w:val="TableGrid"/>
        <w:tblW w:w="0" w:type="auto"/>
        <w:tblInd w:w="959" w:type="dxa"/>
        <w:tblLook w:val="04A0" w:firstRow="1" w:lastRow="0" w:firstColumn="1" w:lastColumn="0" w:noHBand="0" w:noVBand="1"/>
      </w:tblPr>
      <w:tblGrid>
        <w:gridCol w:w="2121"/>
        <w:gridCol w:w="2698"/>
        <w:gridCol w:w="2552"/>
      </w:tblGrid>
      <w:tr w:rsidR="00370424" w:rsidTr="00370424">
        <w:tc>
          <w:tcPr>
            <w:tcW w:w="2121" w:type="dxa"/>
          </w:tcPr>
          <w:p w:rsidR="00370424" w:rsidRPr="00370424" w:rsidRDefault="00370424" w:rsidP="005D1186">
            <w:pPr>
              <w:jc w:val="both"/>
              <w:rPr>
                <w:rFonts w:ascii="Times New Roman" w:hAnsi="Times New Roman" w:cs="Times New Roman"/>
              </w:rPr>
            </w:pPr>
            <w:r w:rsidRPr="00370424">
              <w:rPr>
                <w:rFonts w:ascii="Times New Roman" w:hAnsi="Times New Roman" w:cs="Times New Roman"/>
              </w:rPr>
              <w:t>Институција</w:t>
            </w:r>
          </w:p>
        </w:tc>
        <w:tc>
          <w:tcPr>
            <w:tcW w:w="2698" w:type="dxa"/>
          </w:tcPr>
          <w:p w:rsidR="00370424" w:rsidRPr="00370424" w:rsidRDefault="00370424" w:rsidP="005D1186">
            <w:pPr>
              <w:jc w:val="both"/>
              <w:rPr>
                <w:rFonts w:ascii="Times New Roman" w:hAnsi="Times New Roman" w:cs="Times New Roman"/>
              </w:rPr>
            </w:pPr>
            <w:r w:rsidRPr="00370424">
              <w:rPr>
                <w:rFonts w:ascii="Times New Roman" w:hAnsi="Times New Roman" w:cs="Times New Roman"/>
              </w:rPr>
              <w:t>Број на вработени</w:t>
            </w:r>
          </w:p>
        </w:tc>
        <w:tc>
          <w:tcPr>
            <w:tcW w:w="2552" w:type="dxa"/>
          </w:tcPr>
          <w:p w:rsidR="00370424" w:rsidRPr="00370424" w:rsidRDefault="00370424" w:rsidP="00370424">
            <w:pPr>
              <w:jc w:val="both"/>
              <w:rPr>
                <w:rFonts w:ascii="Times New Roman" w:hAnsi="Times New Roman" w:cs="Times New Roman"/>
              </w:rPr>
            </w:pPr>
            <w:r>
              <w:rPr>
                <w:rFonts w:ascii="Times New Roman" w:hAnsi="Times New Roman" w:cs="Times New Roman"/>
              </w:rPr>
              <w:t>Година на последен објавен податок</w:t>
            </w:r>
          </w:p>
        </w:tc>
      </w:tr>
      <w:tr w:rsidR="00370424" w:rsidTr="00370424">
        <w:tc>
          <w:tcPr>
            <w:tcW w:w="2121" w:type="dxa"/>
          </w:tcPr>
          <w:p w:rsidR="00370424" w:rsidRPr="00370424" w:rsidRDefault="00370424" w:rsidP="005D1186">
            <w:pPr>
              <w:jc w:val="both"/>
              <w:rPr>
                <w:rFonts w:ascii="Times New Roman" w:hAnsi="Times New Roman" w:cs="Times New Roman"/>
              </w:rPr>
            </w:pPr>
            <w:r>
              <w:rPr>
                <w:rFonts w:ascii="Times New Roman" w:hAnsi="Times New Roman" w:cs="Times New Roman"/>
              </w:rPr>
              <w:t>АЕК</w:t>
            </w:r>
          </w:p>
        </w:tc>
        <w:tc>
          <w:tcPr>
            <w:tcW w:w="2698" w:type="dxa"/>
          </w:tcPr>
          <w:p w:rsidR="00370424" w:rsidRPr="00370424" w:rsidRDefault="00370424" w:rsidP="005D1186">
            <w:pPr>
              <w:jc w:val="both"/>
              <w:rPr>
                <w:rFonts w:ascii="Times New Roman" w:hAnsi="Times New Roman" w:cs="Times New Roman"/>
              </w:rPr>
            </w:pPr>
            <w:r>
              <w:rPr>
                <w:rFonts w:ascii="Times New Roman" w:hAnsi="Times New Roman" w:cs="Times New Roman"/>
              </w:rPr>
              <w:t>136</w:t>
            </w:r>
          </w:p>
        </w:tc>
        <w:tc>
          <w:tcPr>
            <w:tcW w:w="2552" w:type="dxa"/>
          </w:tcPr>
          <w:p w:rsidR="00370424" w:rsidRPr="00370424" w:rsidRDefault="00370424" w:rsidP="005D1186">
            <w:pPr>
              <w:jc w:val="both"/>
              <w:rPr>
                <w:rFonts w:ascii="Times New Roman" w:hAnsi="Times New Roman" w:cs="Times New Roman"/>
              </w:rPr>
            </w:pPr>
            <w:r>
              <w:rPr>
                <w:rFonts w:ascii="Times New Roman" w:hAnsi="Times New Roman" w:cs="Times New Roman"/>
              </w:rPr>
              <w:t>2013</w:t>
            </w:r>
          </w:p>
        </w:tc>
      </w:tr>
      <w:tr w:rsidR="00370424" w:rsidTr="00370424">
        <w:tc>
          <w:tcPr>
            <w:tcW w:w="2121" w:type="dxa"/>
          </w:tcPr>
          <w:p w:rsidR="00370424" w:rsidRPr="00370424" w:rsidRDefault="00370424" w:rsidP="005D1186">
            <w:pPr>
              <w:jc w:val="both"/>
              <w:rPr>
                <w:rFonts w:ascii="Times New Roman" w:hAnsi="Times New Roman" w:cs="Times New Roman"/>
              </w:rPr>
            </w:pPr>
            <w:r>
              <w:rPr>
                <w:rFonts w:ascii="Times New Roman" w:hAnsi="Times New Roman" w:cs="Times New Roman"/>
              </w:rPr>
              <w:t>АП</w:t>
            </w:r>
          </w:p>
        </w:tc>
        <w:tc>
          <w:tcPr>
            <w:tcW w:w="2698" w:type="dxa"/>
          </w:tcPr>
          <w:p w:rsidR="00370424" w:rsidRPr="00370424" w:rsidRDefault="00370424" w:rsidP="005D1186">
            <w:pPr>
              <w:jc w:val="both"/>
              <w:rPr>
                <w:rFonts w:ascii="Times New Roman" w:hAnsi="Times New Roman" w:cs="Times New Roman"/>
              </w:rPr>
            </w:pPr>
            <w:r>
              <w:rPr>
                <w:rFonts w:ascii="Times New Roman" w:hAnsi="Times New Roman" w:cs="Times New Roman"/>
              </w:rPr>
              <w:t>Нема објавен податок</w:t>
            </w:r>
          </w:p>
        </w:tc>
        <w:tc>
          <w:tcPr>
            <w:tcW w:w="2552" w:type="dxa"/>
          </w:tcPr>
          <w:p w:rsidR="00370424" w:rsidRPr="00370424" w:rsidRDefault="00370424" w:rsidP="005D1186">
            <w:pPr>
              <w:jc w:val="both"/>
              <w:rPr>
                <w:rFonts w:ascii="Times New Roman" w:hAnsi="Times New Roman" w:cs="Times New Roman"/>
              </w:rPr>
            </w:pPr>
          </w:p>
        </w:tc>
      </w:tr>
      <w:tr w:rsidR="00370424" w:rsidTr="00370424">
        <w:tc>
          <w:tcPr>
            <w:tcW w:w="2121" w:type="dxa"/>
          </w:tcPr>
          <w:p w:rsidR="00370424" w:rsidRDefault="00370424" w:rsidP="005D1186">
            <w:pPr>
              <w:jc w:val="both"/>
              <w:rPr>
                <w:rFonts w:ascii="Times New Roman" w:hAnsi="Times New Roman" w:cs="Times New Roman"/>
              </w:rPr>
            </w:pPr>
            <w:r>
              <w:rPr>
                <w:rFonts w:ascii="Times New Roman" w:hAnsi="Times New Roman" w:cs="Times New Roman"/>
              </w:rPr>
              <w:t>АВМУ</w:t>
            </w:r>
          </w:p>
        </w:tc>
        <w:tc>
          <w:tcPr>
            <w:tcW w:w="2698" w:type="dxa"/>
          </w:tcPr>
          <w:p w:rsidR="00370424" w:rsidRDefault="00370424" w:rsidP="005D1186">
            <w:pPr>
              <w:jc w:val="both"/>
              <w:rPr>
                <w:rFonts w:ascii="Times New Roman" w:hAnsi="Times New Roman" w:cs="Times New Roman"/>
              </w:rPr>
            </w:pPr>
            <w:r>
              <w:rPr>
                <w:rFonts w:ascii="Times New Roman" w:hAnsi="Times New Roman" w:cs="Times New Roman"/>
              </w:rPr>
              <w:t>59</w:t>
            </w:r>
          </w:p>
        </w:tc>
        <w:tc>
          <w:tcPr>
            <w:tcW w:w="2552" w:type="dxa"/>
          </w:tcPr>
          <w:p w:rsidR="00370424" w:rsidRPr="00370424" w:rsidRDefault="00370424" w:rsidP="005D1186">
            <w:pPr>
              <w:jc w:val="both"/>
              <w:rPr>
                <w:rFonts w:ascii="Times New Roman" w:hAnsi="Times New Roman" w:cs="Times New Roman"/>
              </w:rPr>
            </w:pPr>
            <w:r>
              <w:rPr>
                <w:rFonts w:ascii="Times New Roman" w:hAnsi="Times New Roman" w:cs="Times New Roman"/>
              </w:rPr>
              <w:t>2013</w:t>
            </w:r>
          </w:p>
        </w:tc>
      </w:tr>
      <w:tr w:rsidR="00370424" w:rsidTr="00370424">
        <w:tc>
          <w:tcPr>
            <w:tcW w:w="2121" w:type="dxa"/>
          </w:tcPr>
          <w:p w:rsidR="00370424" w:rsidRDefault="00370424" w:rsidP="005D1186">
            <w:pPr>
              <w:jc w:val="both"/>
              <w:rPr>
                <w:rFonts w:ascii="Times New Roman" w:hAnsi="Times New Roman" w:cs="Times New Roman"/>
              </w:rPr>
            </w:pPr>
            <w:r>
              <w:rPr>
                <w:rFonts w:ascii="Times New Roman" w:hAnsi="Times New Roman" w:cs="Times New Roman"/>
              </w:rPr>
              <w:t>РКЕ</w:t>
            </w:r>
          </w:p>
        </w:tc>
        <w:tc>
          <w:tcPr>
            <w:tcW w:w="2698" w:type="dxa"/>
          </w:tcPr>
          <w:p w:rsidR="00370424" w:rsidRDefault="00370424" w:rsidP="005D1186">
            <w:pPr>
              <w:jc w:val="both"/>
              <w:rPr>
                <w:rFonts w:ascii="Times New Roman" w:hAnsi="Times New Roman" w:cs="Times New Roman"/>
              </w:rPr>
            </w:pPr>
            <w:r>
              <w:rPr>
                <w:rFonts w:ascii="Times New Roman" w:hAnsi="Times New Roman" w:cs="Times New Roman"/>
              </w:rPr>
              <w:t>30</w:t>
            </w:r>
          </w:p>
        </w:tc>
        <w:tc>
          <w:tcPr>
            <w:tcW w:w="2552" w:type="dxa"/>
          </w:tcPr>
          <w:p w:rsidR="00370424" w:rsidRDefault="00370424" w:rsidP="005D1186">
            <w:pPr>
              <w:jc w:val="both"/>
              <w:rPr>
                <w:rFonts w:ascii="Times New Roman" w:hAnsi="Times New Roman" w:cs="Times New Roman"/>
              </w:rPr>
            </w:pPr>
            <w:r>
              <w:rPr>
                <w:rFonts w:ascii="Times New Roman" w:hAnsi="Times New Roman" w:cs="Times New Roman"/>
              </w:rPr>
              <w:t>2019</w:t>
            </w:r>
          </w:p>
        </w:tc>
      </w:tr>
      <w:tr w:rsidR="00370424" w:rsidTr="00370424">
        <w:tc>
          <w:tcPr>
            <w:tcW w:w="2121" w:type="dxa"/>
          </w:tcPr>
          <w:p w:rsidR="00370424" w:rsidRDefault="00370424" w:rsidP="005D1186">
            <w:pPr>
              <w:jc w:val="both"/>
              <w:rPr>
                <w:rFonts w:ascii="Times New Roman" w:hAnsi="Times New Roman" w:cs="Times New Roman"/>
              </w:rPr>
            </w:pPr>
            <w:r>
              <w:rPr>
                <w:rFonts w:ascii="Times New Roman" w:hAnsi="Times New Roman" w:cs="Times New Roman"/>
              </w:rPr>
              <w:t>АРЖС</w:t>
            </w:r>
          </w:p>
        </w:tc>
        <w:tc>
          <w:tcPr>
            <w:tcW w:w="2698" w:type="dxa"/>
          </w:tcPr>
          <w:p w:rsidR="00370424" w:rsidRDefault="00370424" w:rsidP="005D1186">
            <w:pPr>
              <w:jc w:val="both"/>
              <w:rPr>
                <w:rFonts w:ascii="Times New Roman" w:hAnsi="Times New Roman" w:cs="Times New Roman"/>
              </w:rPr>
            </w:pPr>
            <w:r>
              <w:rPr>
                <w:rFonts w:ascii="Times New Roman" w:hAnsi="Times New Roman" w:cs="Times New Roman"/>
              </w:rPr>
              <w:t>3</w:t>
            </w:r>
          </w:p>
        </w:tc>
        <w:tc>
          <w:tcPr>
            <w:tcW w:w="2552" w:type="dxa"/>
          </w:tcPr>
          <w:p w:rsidR="00370424" w:rsidRDefault="00370424" w:rsidP="005D1186">
            <w:pPr>
              <w:jc w:val="both"/>
              <w:rPr>
                <w:rFonts w:ascii="Times New Roman" w:hAnsi="Times New Roman" w:cs="Times New Roman"/>
              </w:rPr>
            </w:pPr>
            <w:r>
              <w:rPr>
                <w:rFonts w:ascii="Times New Roman" w:hAnsi="Times New Roman" w:cs="Times New Roman"/>
              </w:rPr>
              <w:t>2018</w:t>
            </w:r>
          </w:p>
        </w:tc>
      </w:tr>
      <w:tr w:rsidR="00370424" w:rsidTr="00370424">
        <w:tc>
          <w:tcPr>
            <w:tcW w:w="2121" w:type="dxa"/>
          </w:tcPr>
          <w:p w:rsidR="00370424" w:rsidRDefault="00370424" w:rsidP="005D1186">
            <w:pPr>
              <w:jc w:val="both"/>
              <w:rPr>
                <w:rFonts w:ascii="Times New Roman" w:hAnsi="Times New Roman" w:cs="Times New Roman"/>
              </w:rPr>
            </w:pPr>
            <w:r>
              <w:rPr>
                <w:rFonts w:ascii="Times New Roman" w:hAnsi="Times New Roman" w:cs="Times New Roman"/>
              </w:rPr>
              <w:t>КЗК</w:t>
            </w:r>
          </w:p>
        </w:tc>
        <w:tc>
          <w:tcPr>
            <w:tcW w:w="2698" w:type="dxa"/>
          </w:tcPr>
          <w:p w:rsidR="00370424" w:rsidRDefault="00370424" w:rsidP="005D1186">
            <w:pPr>
              <w:jc w:val="both"/>
              <w:rPr>
                <w:rFonts w:ascii="Times New Roman" w:hAnsi="Times New Roman" w:cs="Times New Roman"/>
              </w:rPr>
            </w:pPr>
            <w:r>
              <w:rPr>
                <w:rFonts w:ascii="Times New Roman" w:hAnsi="Times New Roman" w:cs="Times New Roman"/>
              </w:rPr>
              <w:t>27</w:t>
            </w:r>
          </w:p>
        </w:tc>
        <w:tc>
          <w:tcPr>
            <w:tcW w:w="2552" w:type="dxa"/>
          </w:tcPr>
          <w:p w:rsidR="00370424" w:rsidRDefault="00370424" w:rsidP="005D1186">
            <w:pPr>
              <w:jc w:val="both"/>
              <w:rPr>
                <w:rFonts w:ascii="Times New Roman" w:hAnsi="Times New Roman" w:cs="Times New Roman"/>
              </w:rPr>
            </w:pPr>
            <w:r>
              <w:rPr>
                <w:rFonts w:ascii="Times New Roman" w:hAnsi="Times New Roman" w:cs="Times New Roman"/>
              </w:rPr>
              <w:t>2018</w:t>
            </w:r>
          </w:p>
        </w:tc>
      </w:tr>
    </w:tbl>
    <w:p w:rsidR="00843396" w:rsidRDefault="00843396" w:rsidP="005D1186">
      <w:pPr>
        <w:jc w:val="both"/>
        <w:rPr>
          <w:rFonts w:ascii="Times New Roman" w:hAnsi="Times New Roman" w:cs="Times New Roman"/>
          <w:sz w:val="24"/>
          <w:szCs w:val="24"/>
        </w:rPr>
      </w:pPr>
    </w:p>
    <w:p w:rsidR="001C5670" w:rsidRDefault="00843396" w:rsidP="005D1186">
      <w:pPr>
        <w:jc w:val="both"/>
        <w:rPr>
          <w:rFonts w:ascii="Times New Roman" w:hAnsi="Times New Roman" w:cs="Times New Roman"/>
          <w:sz w:val="24"/>
          <w:szCs w:val="24"/>
        </w:rPr>
      </w:pPr>
      <w:r>
        <w:rPr>
          <w:rFonts w:ascii="Times New Roman" w:hAnsi="Times New Roman" w:cs="Times New Roman"/>
          <w:sz w:val="24"/>
          <w:szCs w:val="24"/>
        </w:rPr>
        <w:t xml:space="preserve">Во однос на кадровската екипираност АЕК и АВМУ бележат задоволитени резултати. Според секторските закони, тие не се само административни институции туку се и оперативни институции кои се надлежни за активен мониторинг на работата на пазарот на електронски комуникации (АЕК) и на пазарот на медиумите (без социјални медиуми) (АВМУ). Преку реализација на овие надлежности, овие регулаторни тела </w:t>
      </w:r>
      <w:r>
        <w:rPr>
          <w:rFonts w:ascii="Times New Roman" w:hAnsi="Times New Roman" w:cs="Times New Roman"/>
          <w:sz w:val="24"/>
          <w:szCs w:val="24"/>
        </w:rPr>
        <w:lastRenderedPageBreak/>
        <w:t>значајно влијаат врз развојот на соодветните пазари во земјата, наметнувајќи повисоки критериуми на компаниите кои се предмет на нивна регулација</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Загрижува кадовската екипираност на АРЖС, која со 3 вработени треба да го поттикнува развојот на железничкиот пазар во земјата. КЗК исто така не е соодветно екипирана, согласно обемот и задачите што од неа се очекува да ги исполнува.</w:t>
      </w:r>
      <w:r w:rsidR="007423CD">
        <w:rPr>
          <w:rFonts w:ascii="Times New Roman" w:hAnsi="Times New Roman" w:cs="Times New Roman"/>
          <w:sz w:val="24"/>
          <w:szCs w:val="24"/>
        </w:rPr>
        <w:t xml:space="preserve"> И оваа анализа укажува дека управувањето со кадровските капацитети во регулаторните институции, генерално е несоодветен. За жал, овие институции се перципирани само како гнезда за </w:t>
      </w:r>
      <w:r w:rsidR="00D03E5D">
        <w:rPr>
          <w:rFonts w:ascii="Times New Roman" w:hAnsi="Times New Roman" w:cs="Times New Roman"/>
          <w:sz w:val="24"/>
          <w:szCs w:val="24"/>
        </w:rPr>
        <w:t>удомување</w:t>
      </w:r>
      <w:r w:rsidR="007423CD">
        <w:rPr>
          <w:rFonts w:ascii="Times New Roman" w:hAnsi="Times New Roman" w:cs="Times New Roman"/>
          <w:sz w:val="24"/>
          <w:szCs w:val="24"/>
        </w:rPr>
        <w:t xml:space="preserve"> на кадри блиски до политичките и бизнис елити. Ефектот што тие треба да го дадат во развојот на функционална пазарна економија која ќе поддржува и остварување на одржлив економски развој е несоодветен. </w:t>
      </w:r>
    </w:p>
    <w:p w:rsidR="00676126" w:rsidRDefault="00676126" w:rsidP="005D1186">
      <w:pPr>
        <w:jc w:val="both"/>
        <w:rPr>
          <w:rFonts w:ascii="Times New Roman" w:hAnsi="Times New Roman" w:cs="Times New Roman"/>
          <w:b/>
          <w:sz w:val="24"/>
          <w:szCs w:val="24"/>
        </w:rPr>
      </w:pPr>
      <w:r w:rsidRPr="006C2FC2">
        <w:rPr>
          <w:rFonts w:ascii="Times New Roman" w:hAnsi="Times New Roman" w:cs="Times New Roman"/>
          <w:b/>
          <w:sz w:val="24"/>
          <w:szCs w:val="24"/>
        </w:rPr>
        <w:t>4. Заклучоци и препораки</w:t>
      </w:r>
    </w:p>
    <w:p w:rsidR="001E447E" w:rsidRPr="001E447E" w:rsidRDefault="00DF1370" w:rsidP="005D1186">
      <w:pPr>
        <w:jc w:val="both"/>
        <w:rPr>
          <w:rFonts w:ascii="Times New Roman" w:hAnsi="Times New Roman" w:cs="Times New Roman"/>
          <w:sz w:val="24"/>
          <w:szCs w:val="24"/>
        </w:rPr>
      </w:pPr>
      <w:r w:rsidRPr="00DF1370">
        <w:rPr>
          <w:rFonts w:ascii="Times New Roman" w:hAnsi="Times New Roman" w:cs="Times New Roman"/>
          <w:sz w:val="24"/>
          <w:szCs w:val="24"/>
        </w:rPr>
        <w:t xml:space="preserve">Од </w:t>
      </w:r>
      <w:r>
        <w:rPr>
          <w:rFonts w:ascii="Times New Roman" w:hAnsi="Times New Roman" w:cs="Times New Roman"/>
          <w:sz w:val="24"/>
          <w:szCs w:val="24"/>
        </w:rPr>
        <w:t>досегашната анализа</w:t>
      </w:r>
      <w:r w:rsidR="00CA300C">
        <w:rPr>
          <w:rFonts w:ascii="Times New Roman" w:hAnsi="Times New Roman" w:cs="Times New Roman"/>
          <w:sz w:val="24"/>
          <w:szCs w:val="24"/>
        </w:rPr>
        <w:t>, како генерален заклучок,</w:t>
      </w:r>
      <w:r>
        <w:rPr>
          <w:rFonts w:ascii="Times New Roman" w:hAnsi="Times New Roman" w:cs="Times New Roman"/>
          <w:sz w:val="24"/>
          <w:szCs w:val="24"/>
        </w:rPr>
        <w:t xml:space="preserve"> </w:t>
      </w:r>
      <w:r w:rsidR="00CA300C">
        <w:rPr>
          <w:rFonts w:ascii="Times New Roman" w:hAnsi="Times New Roman" w:cs="Times New Roman"/>
          <w:sz w:val="24"/>
          <w:szCs w:val="24"/>
        </w:rPr>
        <w:t xml:space="preserve">произлегува дека во основа пазарната регулација е неефикасна и креира значајна загуба во општествената благосостојба. Регулаторните институции, во најголем дел, се неефикасни и даваат незадоволителни резултати во развојот на пазарната конкуренција. Отсуството на </w:t>
      </w:r>
      <w:r w:rsidR="0014344B">
        <w:rPr>
          <w:rFonts w:ascii="Times New Roman" w:hAnsi="Times New Roman" w:cs="Times New Roman"/>
          <w:sz w:val="24"/>
          <w:szCs w:val="24"/>
        </w:rPr>
        <w:t>поли</w:t>
      </w:r>
      <w:r w:rsidR="00CA300C">
        <w:rPr>
          <w:rFonts w:ascii="Times New Roman" w:hAnsi="Times New Roman" w:cs="Times New Roman"/>
          <w:sz w:val="24"/>
          <w:szCs w:val="24"/>
        </w:rPr>
        <w:t xml:space="preserve">тичка волја во разрешувањето на проблемот со независноста и ефикасноста на регулаторните пазарни институции е поддржана со соодветната незаинтересираност и од страна на владиниот и бизнис сектор за реалните придобивки од поефикасната пазарна регулација и зајакната пазарна конкуренција. Потрошувачите без соодветна институционална поддршка остануваат да бидат крајните жртви од ваквата состојба во земјата за кои и трошоците од недоволната и неадекватна </w:t>
      </w:r>
      <w:r w:rsidR="00CA300C">
        <w:rPr>
          <w:rFonts w:ascii="Times New Roman" w:hAnsi="Times New Roman" w:cs="Times New Roman"/>
          <w:sz w:val="24"/>
          <w:szCs w:val="24"/>
          <w:lang w:val="en-US"/>
        </w:rPr>
        <w:t xml:space="preserve">ex-ante </w:t>
      </w:r>
      <w:r w:rsidR="00CA300C">
        <w:rPr>
          <w:rFonts w:ascii="Times New Roman" w:hAnsi="Times New Roman" w:cs="Times New Roman"/>
          <w:sz w:val="24"/>
          <w:szCs w:val="24"/>
        </w:rPr>
        <w:t xml:space="preserve">и </w:t>
      </w:r>
      <w:r w:rsidR="00CA300C">
        <w:rPr>
          <w:rFonts w:ascii="Times New Roman" w:hAnsi="Times New Roman" w:cs="Times New Roman"/>
          <w:sz w:val="24"/>
          <w:szCs w:val="24"/>
          <w:lang w:val="en-US"/>
        </w:rPr>
        <w:t xml:space="preserve">ex-post </w:t>
      </w:r>
      <w:r w:rsidR="00CA300C">
        <w:rPr>
          <w:rFonts w:ascii="Times New Roman" w:hAnsi="Times New Roman" w:cs="Times New Roman"/>
          <w:sz w:val="24"/>
          <w:szCs w:val="24"/>
        </w:rPr>
        <w:t xml:space="preserve">пазарна регулација се најголеми. </w:t>
      </w:r>
      <w:r w:rsidR="001E447E">
        <w:rPr>
          <w:rFonts w:ascii="Times New Roman" w:hAnsi="Times New Roman" w:cs="Times New Roman"/>
          <w:sz w:val="24"/>
          <w:szCs w:val="24"/>
        </w:rPr>
        <w:t>Друга значајна слабост претставува отсуството на реална соработка меѓи КЗК како надлежна за</w:t>
      </w:r>
      <w:r w:rsidR="0014344B">
        <w:rPr>
          <w:rFonts w:ascii="Times New Roman" w:hAnsi="Times New Roman" w:cs="Times New Roman"/>
          <w:sz w:val="24"/>
          <w:szCs w:val="24"/>
        </w:rPr>
        <w:t xml:space="preserve"> </w:t>
      </w:r>
      <w:r w:rsidR="001E447E">
        <w:rPr>
          <w:rFonts w:ascii="Times New Roman" w:hAnsi="Times New Roman" w:cs="Times New Roman"/>
          <w:sz w:val="24"/>
          <w:szCs w:val="24"/>
          <w:lang w:val="en-US"/>
        </w:rPr>
        <w:t xml:space="preserve">ex-post </w:t>
      </w:r>
      <w:r w:rsidR="001E447E">
        <w:rPr>
          <w:rFonts w:ascii="Times New Roman" w:hAnsi="Times New Roman" w:cs="Times New Roman"/>
          <w:sz w:val="24"/>
          <w:szCs w:val="24"/>
        </w:rPr>
        <w:t xml:space="preserve">пазарна регулација и </w:t>
      </w:r>
      <w:r w:rsidR="001E447E">
        <w:rPr>
          <w:rFonts w:ascii="Times New Roman" w:hAnsi="Times New Roman" w:cs="Times New Roman"/>
          <w:sz w:val="24"/>
          <w:szCs w:val="24"/>
          <w:lang w:val="en-US"/>
        </w:rPr>
        <w:t>ex-ante</w:t>
      </w:r>
      <w:r w:rsidR="001E447E">
        <w:rPr>
          <w:rFonts w:ascii="Times New Roman" w:hAnsi="Times New Roman" w:cs="Times New Roman"/>
          <w:sz w:val="24"/>
          <w:szCs w:val="24"/>
        </w:rPr>
        <w:t xml:space="preserve"> регулаторните тела, бидејќи како се проширува либерализацијата на пазарите на овие сектори, повеќе на значение добиваат мерките и политиките со кои се зајакнува пазарната конкуренција на истите</w:t>
      </w:r>
      <w:r w:rsidR="002D6812">
        <w:rPr>
          <w:rFonts w:ascii="Times New Roman" w:hAnsi="Times New Roman" w:cs="Times New Roman"/>
          <w:sz w:val="24"/>
          <w:szCs w:val="24"/>
        </w:rPr>
        <w:t xml:space="preserve"> (посебно ова е значајно на пазарот на електронски комуникации и на пазарот </w:t>
      </w:r>
      <w:r w:rsidR="00AC0E53">
        <w:rPr>
          <w:rFonts w:ascii="Times New Roman" w:hAnsi="Times New Roman" w:cs="Times New Roman"/>
          <w:sz w:val="24"/>
          <w:szCs w:val="24"/>
        </w:rPr>
        <w:t>и на пазарот во секторот на енергетиката)</w:t>
      </w:r>
      <w:r w:rsidR="001E447E">
        <w:rPr>
          <w:rFonts w:ascii="Times New Roman" w:hAnsi="Times New Roman" w:cs="Times New Roman"/>
          <w:sz w:val="24"/>
          <w:szCs w:val="24"/>
        </w:rPr>
        <w:t>.</w:t>
      </w:r>
    </w:p>
    <w:p w:rsidR="00DE6F6E" w:rsidRDefault="00CA300C" w:rsidP="005D1186">
      <w:pPr>
        <w:jc w:val="both"/>
        <w:rPr>
          <w:rFonts w:ascii="Times New Roman" w:hAnsi="Times New Roman" w:cs="Times New Roman"/>
          <w:sz w:val="24"/>
          <w:szCs w:val="24"/>
        </w:rPr>
      </w:pPr>
      <w:r>
        <w:rPr>
          <w:rFonts w:ascii="Times New Roman" w:hAnsi="Times New Roman" w:cs="Times New Roman"/>
          <w:sz w:val="24"/>
          <w:szCs w:val="24"/>
        </w:rPr>
        <w:t xml:space="preserve">Со цел, надминување на најголем дел од негативните последици од несоодветната </w:t>
      </w:r>
      <w:r>
        <w:rPr>
          <w:rFonts w:ascii="Times New Roman" w:hAnsi="Times New Roman" w:cs="Times New Roman"/>
          <w:sz w:val="24"/>
          <w:szCs w:val="24"/>
          <w:lang w:val="en-US"/>
        </w:rPr>
        <w:t xml:space="preserve">ex-ante </w:t>
      </w:r>
      <w:r>
        <w:rPr>
          <w:rFonts w:ascii="Times New Roman" w:hAnsi="Times New Roman" w:cs="Times New Roman"/>
          <w:sz w:val="24"/>
          <w:szCs w:val="24"/>
        </w:rPr>
        <w:t xml:space="preserve">и </w:t>
      </w:r>
      <w:r>
        <w:rPr>
          <w:rFonts w:ascii="Times New Roman" w:hAnsi="Times New Roman" w:cs="Times New Roman"/>
          <w:sz w:val="24"/>
          <w:szCs w:val="24"/>
          <w:lang w:val="en-US"/>
        </w:rPr>
        <w:t xml:space="preserve">ex-post </w:t>
      </w:r>
      <w:r>
        <w:rPr>
          <w:rFonts w:ascii="Times New Roman" w:hAnsi="Times New Roman" w:cs="Times New Roman"/>
          <w:sz w:val="24"/>
          <w:szCs w:val="24"/>
        </w:rPr>
        <w:t>пазарна регулација во земјата, се даваат следниве препораки:</w:t>
      </w:r>
    </w:p>
    <w:p w:rsidR="00CA300C" w:rsidRPr="00344038" w:rsidRDefault="00CA300C" w:rsidP="005D1186">
      <w:pPr>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 xml:space="preserve">i). </w:t>
      </w:r>
      <w:r w:rsidR="000742F3">
        <w:rPr>
          <w:rFonts w:ascii="Times New Roman" w:hAnsi="Times New Roman" w:cs="Times New Roman"/>
          <w:sz w:val="24"/>
          <w:szCs w:val="24"/>
        </w:rPr>
        <w:t>Институционалниот развој на земјата треба да почива на системски и ситематски пристап, кој ќе биде одраз на економските прилики и н</w:t>
      </w:r>
      <w:r w:rsidR="0014344B">
        <w:rPr>
          <w:rFonts w:ascii="Times New Roman" w:hAnsi="Times New Roman" w:cs="Times New Roman"/>
          <w:sz w:val="24"/>
          <w:szCs w:val="24"/>
        </w:rPr>
        <w:t>и</w:t>
      </w:r>
      <w:r w:rsidR="000742F3">
        <w:rPr>
          <w:rFonts w:ascii="Times New Roman" w:hAnsi="Times New Roman" w:cs="Times New Roman"/>
          <w:sz w:val="24"/>
          <w:szCs w:val="24"/>
        </w:rPr>
        <w:t xml:space="preserve">вото на економски развој во земјата. </w:t>
      </w:r>
      <w:r w:rsidR="001D4962">
        <w:rPr>
          <w:rFonts w:ascii="Times New Roman" w:hAnsi="Times New Roman" w:cs="Times New Roman"/>
          <w:sz w:val="24"/>
          <w:szCs w:val="24"/>
        </w:rPr>
        <w:t xml:space="preserve">Формалниот пристап во развојот на институциите, кој само ќе значи формално исполнување на превземените обврски и задачи на асоцијативниот пат кон ЕУ прави повеќе лошо отколку добро на пазарниот механизам и на економијата воопшто. Затоа како прв приоритет треба да се задолжи, највисоката научна институција во земјата – МАНУ, да направи длабинска анализа на работата и ефектите од работењето на секоја пазарна институција и да изработи стратегија за идниот институционален развој во </w:t>
      </w:r>
      <w:r w:rsidR="001D4962">
        <w:rPr>
          <w:rFonts w:ascii="Times New Roman" w:hAnsi="Times New Roman" w:cs="Times New Roman"/>
          <w:sz w:val="24"/>
          <w:szCs w:val="24"/>
        </w:rPr>
        <w:lastRenderedPageBreak/>
        <w:t xml:space="preserve">земјата, во која ќе се дефинира оптималната институционална структура, по принципот на </w:t>
      </w:r>
      <w:r w:rsidR="001D4962">
        <w:rPr>
          <w:rFonts w:ascii="Times New Roman" w:hAnsi="Times New Roman" w:cs="Times New Roman"/>
          <w:sz w:val="24"/>
          <w:szCs w:val="24"/>
          <w:lang w:val="en-US"/>
        </w:rPr>
        <w:t xml:space="preserve">costs – benefits </w:t>
      </w:r>
      <w:r w:rsidR="001D4962">
        <w:rPr>
          <w:rFonts w:ascii="Times New Roman" w:hAnsi="Times New Roman" w:cs="Times New Roman"/>
          <w:sz w:val="24"/>
          <w:szCs w:val="24"/>
        </w:rPr>
        <w:t>методот ќе се пристапи кон реформа на регулаторните институции. Пристапот на просто спојување на регулаторните тела со цел нам</w:t>
      </w:r>
      <w:r w:rsidR="0014344B">
        <w:rPr>
          <w:rFonts w:ascii="Times New Roman" w:hAnsi="Times New Roman" w:cs="Times New Roman"/>
          <w:sz w:val="24"/>
          <w:szCs w:val="24"/>
        </w:rPr>
        <w:t>а</w:t>
      </w:r>
      <w:r w:rsidR="001D4962">
        <w:rPr>
          <w:rFonts w:ascii="Times New Roman" w:hAnsi="Times New Roman" w:cs="Times New Roman"/>
          <w:sz w:val="24"/>
          <w:szCs w:val="24"/>
        </w:rPr>
        <w:t>лување на трошоците за управување и раководење со истите може да делува погубно врз ефикасноста во работењето на успешните регулаторни тела.</w:t>
      </w:r>
      <w:r w:rsidR="00344038">
        <w:rPr>
          <w:rFonts w:ascii="Times New Roman" w:hAnsi="Times New Roman" w:cs="Times New Roman"/>
          <w:sz w:val="24"/>
          <w:szCs w:val="24"/>
        </w:rPr>
        <w:t xml:space="preserve"> </w:t>
      </w:r>
      <w:r w:rsidR="003F7FA4">
        <w:rPr>
          <w:rFonts w:ascii="Times New Roman" w:hAnsi="Times New Roman" w:cs="Times New Roman"/>
          <w:sz w:val="24"/>
          <w:szCs w:val="24"/>
        </w:rPr>
        <w:t xml:space="preserve">Затоа, во фокусот на реформите да се стават неефикасните и недоволно кадровски екипираните регулатори. </w:t>
      </w:r>
      <w:r w:rsidR="00344038">
        <w:rPr>
          <w:rFonts w:ascii="Times New Roman" w:hAnsi="Times New Roman" w:cs="Times New Roman"/>
          <w:sz w:val="24"/>
          <w:szCs w:val="24"/>
        </w:rPr>
        <w:t>Реформираните регу</w:t>
      </w:r>
      <w:r w:rsidR="0014344B">
        <w:rPr>
          <w:rFonts w:ascii="Times New Roman" w:hAnsi="Times New Roman" w:cs="Times New Roman"/>
          <w:sz w:val="24"/>
          <w:szCs w:val="24"/>
        </w:rPr>
        <w:t>л</w:t>
      </w:r>
      <w:r w:rsidR="00344038">
        <w:rPr>
          <w:rFonts w:ascii="Times New Roman" w:hAnsi="Times New Roman" w:cs="Times New Roman"/>
          <w:sz w:val="24"/>
          <w:szCs w:val="24"/>
        </w:rPr>
        <w:t>аторни тела треба да бидат кредибилни и адекватно да се носат со активностите на меѓународните регулаторни институции (</w:t>
      </w:r>
      <w:r w:rsidR="00344038">
        <w:rPr>
          <w:rFonts w:ascii="Times New Roman" w:hAnsi="Times New Roman" w:cs="Times New Roman"/>
          <w:sz w:val="24"/>
          <w:szCs w:val="24"/>
          <w:lang w:val="en-US"/>
        </w:rPr>
        <w:t>Martin, 2008).</w:t>
      </w:r>
    </w:p>
    <w:p w:rsidR="001D4962" w:rsidRDefault="001D4962" w:rsidP="005D118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ii) </w:t>
      </w:r>
      <w:r>
        <w:rPr>
          <w:rFonts w:ascii="Times New Roman" w:hAnsi="Times New Roman" w:cs="Times New Roman"/>
          <w:sz w:val="24"/>
          <w:szCs w:val="24"/>
        </w:rPr>
        <w:t>Проблемите со (не)независноста на регулат</w:t>
      </w:r>
      <w:r w:rsidR="0014344B">
        <w:rPr>
          <w:rFonts w:ascii="Times New Roman" w:hAnsi="Times New Roman" w:cs="Times New Roman"/>
          <w:sz w:val="24"/>
          <w:szCs w:val="24"/>
        </w:rPr>
        <w:t>о</w:t>
      </w:r>
      <w:r>
        <w:rPr>
          <w:rFonts w:ascii="Times New Roman" w:hAnsi="Times New Roman" w:cs="Times New Roman"/>
          <w:sz w:val="24"/>
          <w:szCs w:val="24"/>
        </w:rPr>
        <w:t xml:space="preserve">рните тела треба да се реши со заедничка политичка волја и искрена заложба на сите политички партии, креаторите на политиките и  бизнис задницата законски </w:t>
      </w:r>
      <w:r>
        <w:rPr>
          <w:rFonts w:ascii="Times New Roman" w:hAnsi="Times New Roman" w:cs="Times New Roman"/>
          <w:sz w:val="24"/>
          <w:szCs w:val="24"/>
          <w:lang w:val="en-US"/>
        </w:rPr>
        <w:t xml:space="preserve">de-jure </w:t>
      </w:r>
      <w:r>
        <w:rPr>
          <w:rFonts w:ascii="Times New Roman" w:hAnsi="Times New Roman" w:cs="Times New Roman"/>
          <w:sz w:val="24"/>
          <w:szCs w:val="24"/>
        </w:rPr>
        <w:t xml:space="preserve">и апликативно </w:t>
      </w:r>
      <w:r>
        <w:rPr>
          <w:rFonts w:ascii="Times New Roman" w:hAnsi="Times New Roman" w:cs="Times New Roman"/>
          <w:sz w:val="24"/>
          <w:szCs w:val="24"/>
          <w:lang w:val="en-US"/>
        </w:rPr>
        <w:t xml:space="preserve">de-facto </w:t>
      </w:r>
      <w:r>
        <w:rPr>
          <w:rFonts w:ascii="Times New Roman" w:hAnsi="Times New Roman" w:cs="Times New Roman"/>
          <w:sz w:val="24"/>
          <w:szCs w:val="24"/>
        </w:rPr>
        <w:t>да се загарантира независноста на овие институции. Во таа насока, добро е да се следи моделот со кој е загарантирана и обезбедена незав</w:t>
      </w:r>
      <w:r w:rsidR="0014344B">
        <w:rPr>
          <w:rFonts w:ascii="Times New Roman" w:hAnsi="Times New Roman" w:cs="Times New Roman"/>
          <w:sz w:val="24"/>
          <w:szCs w:val="24"/>
        </w:rPr>
        <w:t>и</w:t>
      </w:r>
      <w:r>
        <w:rPr>
          <w:rFonts w:ascii="Times New Roman" w:hAnsi="Times New Roman" w:cs="Times New Roman"/>
          <w:sz w:val="24"/>
          <w:szCs w:val="24"/>
        </w:rPr>
        <w:t>сноста на Народната банка во земјата. Па така, како конкретни мерки се препорачуваат продолжување на мандатот на директорите од 5 на осум години, мандатите на членовите во комисиите на овие тела да се изедначи за сите и да иззнесува 5 години. Во изборот на генералниот директор на регулаторното тело, предност да имаат веќе вработените стручни кадри, кои имаат долгогодишно искуство во функционирањето на институцијата и се докажани експерти во областа.</w:t>
      </w:r>
      <w:r w:rsidR="00344038">
        <w:rPr>
          <w:rFonts w:ascii="Times New Roman" w:hAnsi="Times New Roman" w:cs="Times New Roman"/>
          <w:sz w:val="24"/>
          <w:szCs w:val="24"/>
          <w:lang w:val="en-US"/>
        </w:rPr>
        <w:t xml:space="preserve"> </w:t>
      </w:r>
      <w:r w:rsidR="00344038">
        <w:rPr>
          <w:rFonts w:ascii="Times New Roman" w:hAnsi="Times New Roman" w:cs="Times New Roman"/>
          <w:sz w:val="24"/>
          <w:szCs w:val="24"/>
        </w:rPr>
        <w:t xml:space="preserve">Да се зајакне извршната моќ на решенијата и одлуките донесени од страна на регулаторните тела </w:t>
      </w:r>
      <w:r w:rsidR="003758EC">
        <w:rPr>
          <w:rFonts w:ascii="Times New Roman" w:hAnsi="Times New Roman" w:cs="Times New Roman"/>
          <w:sz w:val="24"/>
          <w:szCs w:val="24"/>
        </w:rPr>
        <w:t>во случаите на прекршување на законските одредби од страна на регулираните компании.</w:t>
      </w:r>
    </w:p>
    <w:p w:rsidR="00C56180" w:rsidRDefault="00C56180" w:rsidP="005D118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Една од слабите карики во примената на соодветната секторска </w:t>
      </w:r>
      <w:r>
        <w:rPr>
          <w:rFonts w:ascii="Times New Roman" w:hAnsi="Times New Roman" w:cs="Times New Roman"/>
          <w:sz w:val="24"/>
          <w:szCs w:val="24"/>
          <w:lang w:val="en-US"/>
        </w:rPr>
        <w:t xml:space="preserve">ex-ante </w:t>
      </w:r>
      <w:r>
        <w:rPr>
          <w:rFonts w:ascii="Times New Roman" w:hAnsi="Times New Roman" w:cs="Times New Roman"/>
          <w:sz w:val="24"/>
          <w:szCs w:val="24"/>
        </w:rPr>
        <w:t xml:space="preserve">и </w:t>
      </w:r>
      <w:r>
        <w:rPr>
          <w:rFonts w:ascii="Times New Roman" w:hAnsi="Times New Roman" w:cs="Times New Roman"/>
          <w:sz w:val="24"/>
          <w:szCs w:val="24"/>
          <w:lang w:val="en-US"/>
        </w:rPr>
        <w:t xml:space="preserve">ex-post </w:t>
      </w:r>
      <w:r>
        <w:rPr>
          <w:rFonts w:ascii="Times New Roman" w:hAnsi="Times New Roman" w:cs="Times New Roman"/>
          <w:sz w:val="24"/>
          <w:szCs w:val="24"/>
        </w:rPr>
        <w:t>пазарна регулатива е неадекватната улога на судиите и судскиот систем во земјата. Недоволното познавање на специфичната проблематика (од економски и од првен аспект</w:t>
      </w:r>
      <w:r w:rsidR="0014344B">
        <w:rPr>
          <w:rFonts w:ascii="Times New Roman" w:hAnsi="Times New Roman" w:cs="Times New Roman"/>
          <w:sz w:val="24"/>
          <w:szCs w:val="24"/>
        </w:rPr>
        <w:t>, а за некои области на регулација и од технички аспект</w:t>
      </w:r>
      <w:r>
        <w:rPr>
          <w:rFonts w:ascii="Times New Roman" w:hAnsi="Times New Roman" w:cs="Times New Roman"/>
          <w:sz w:val="24"/>
          <w:szCs w:val="24"/>
        </w:rPr>
        <w:t xml:space="preserve">) од страна на судиите доведува до носење на неадекватни судски одлуки, со кои само дополнително се подрива и онака кревкиот институционален кредибилитет на овие институции. Затоа, судиите и другите правосудни органи во земјата треба задолжително да се едуцираат во областа на секторска </w:t>
      </w:r>
      <w:r w:rsidR="00E546CF">
        <w:rPr>
          <w:rFonts w:ascii="Times New Roman" w:hAnsi="Times New Roman" w:cs="Times New Roman"/>
          <w:sz w:val="24"/>
          <w:szCs w:val="24"/>
        </w:rPr>
        <w:t>регулаторн</w:t>
      </w:r>
      <w:r w:rsidR="0014344B">
        <w:rPr>
          <w:rFonts w:ascii="Times New Roman" w:hAnsi="Times New Roman" w:cs="Times New Roman"/>
          <w:sz w:val="24"/>
          <w:szCs w:val="24"/>
        </w:rPr>
        <w:t>а</w:t>
      </w:r>
      <w:r w:rsidR="00E546CF">
        <w:rPr>
          <w:rFonts w:ascii="Times New Roman" w:hAnsi="Times New Roman" w:cs="Times New Roman"/>
          <w:sz w:val="24"/>
          <w:szCs w:val="24"/>
        </w:rPr>
        <w:t xml:space="preserve"> </w:t>
      </w:r>
      <w:r>
        <w:rPr>
          <w:rFonts w:ascii="Times New Roman" w:hAnsi="Times New Roman" w:cs="Times New Roman"/>
          <w:sz w:val="24"/>
          <w:szCs w:val="24"/>
        </w:rPr>
        <w:t xml:space="preserve">пазарна регулатива. </w:t>
      </w:r>
      <w:r w:rsidRPr="00C56180">
        <w:rPr>
          <w:rFonts w:ascii="Times New Roman" w:hAnsi="Times New Roman" w:cs="Times New Roman"/>
          <w:sz w:val="24"/>
          <w:szCs w:val="24"/>
        </w:rPr>
        <w:t xml:space="preserve">Klerman </w:t>
      </w:r>
      <w:r>
        <w:rPr>
          <w:rFonts w:ascii="Times New Roman" w:hAnsi="Times New Roman" w:cs="Times New Roman"/>
          <w:sz w:val="24"/>
          <w:szCs w:val="24"/>
        </w:rPr>
        <w:t xml:space="preserve">и Garoupa (2002) укажуваат дека оптималниот дизајн и примена на секторска </w:t>
      </w:r>
      <w:r>
        <w:rPr>
          <w:rFonts w:ascii="Times New Roman" w:hAnsi="Times New Roman" w:cs="Times New Roman"/>
          <w:sz w:val="24"/>
          <w:szCs w:val="24"/>
          <w:lang w:val="en-US"/>
        </w:rPr>
        <w:t xml:space="preserve">ex-ante </w:t>
      </w:r>
      <w:r>
        <w:rPr>
          <w:rFonts w:ascii="Times New Roman" w:hAnsi="Times New Roman" w:cs="Times New Roman"/>
          <w:sz w:val="24"/>
          <w:szCs w:val="24"/>
        </w:rPr>
        <w:t xml:space="preserve">и </w:t>
      </w:r>
      <w:r>
        <w:rPr>
          <w:rFonts w:ascii="Times New Roman" w:hAnsi="Times New Roman" w:cs="Times New Roman"/>
          <w:sz w:val="24"/>
          <w:szCs w:val="24"/>
          <w:lang w:val="en-US"/>
        </w:rPr>
        <w:t xml:space="preserve">ex-post </w:t>
      </w:r>
      <w:r>
        <w:rPr>
          <w:rFonts w:ascii="Times New Roman" w:hAnsi="Times New Roman" w:cs="Times New Roman"/>
          <w:sz w:val="24"/>
          <w:szCs w:val="24"/>
        </w:rPr>
        <w:t>пазарна регулатива правопропорционално влијае врз намалувањето на трошоците од ’</w:t>
      </w:r>
      <w:r>
        <w:rPr>
          <w:rFonts w:ascii="Times New Roman" w:hAnsi="Times New Roman" w:cs="Times New Roman"/>
          <w:sz w:val="24"/>
          <w:szCs w:val="24"/>
          <w:lang w:val="en-US"/>
        </w:rPr>
        <w:t>r</w:t>
      </w:r>
      <w:r w:rsidRPr="00C56180">
        <w:rPr>
          <w:rFonts w:ascii="Times New Roman" w:hAnsi="Times New Roman" w:cs="Times New Roman"/>
          <w:sz w:val="24"/>
          <w:szCs w:val="24"/>
        </w:rPr>
        <w:t xml:space="preserve">ent- </w:t>
      </w:r>
      <w:r>
        <w:rPr>
          <w:rFonts w:ascii="Times New Roman" w:hAnsi="Times New Roman" w:cs="Times New Roman"/>
          <w:sz w:val="24"/>
          <w:szCs w:val="24"/>
          <w:lang w:val="en-US"/>
        </w:rPr>
        <w:t>s</w:t>
      </w:r>
      <w:r w:rsidRPr="00C56180">
        <w:rPr>
          <w:rFonts w:ascii="Times New Roman" w:hAnsi="Times New Roman" w:cs="Times New Roman"/>
          <w:sz w:val="24"/>
          <w:szCs w:val="24"/>
        </w:rPr>
        <w:t>eeking</w:t>
      </w:r>
      <w:r>
        <w:rPr>
          <w:rFonts w:ascii="Times New Roman" w:hAnsi="Times New Roman" w:cs="Times New Roman"/>
          <w:sz w:val="24"/>
          <w:szCs w:val="24"/>
        </w:rPr>
        <w:t>’ активностите, а со тоа се намалува и загубата во општествената благосостојба.</w:t>
      </w:r>
    </w:p>
    <w:p w:rsidR="00C56180" w:rsidRDefault="00C56180" w:rsidP="005D118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iv). </w:t>
      </w:r>
      <w:r w:rsidR="00AF4AC7">
        <w:rPr>
          <w:rFonts w:ascii="Times New Roman" w:hAnsi="Times New Roman" w:cs="Times New Roman"/>
          <w:sz w:val="24"/>
          <w:szCs w:val="24"/>
        </w:rPr>
        <w:t xml:space="preserve">Сите </w:t>
      </w:r>
      <w:r w:rsidR="00AF4AC7">
        <w:rPr>
          <w:rFonts w:ascii="Times New Roman" w:hAnsi="Times New Roman" w:cs="Times New Roman"/>
          <w:sz w:val="24"/>
          <w:szCs w:val="24"/>
          <w:lang w:val="en-US"/>
        </w:rPr>
        <w:t xml:space="preserve">ex-ante </w:t>
      </w:r>
      <w:r w:rsidR="00AF4AC7">
        <w:rPr>
          <w:rFonts w:ascii="Times New Roman" w:hAnsi="Times New Roman" w:cs="Times New Roman"/>
          <w:sz w:val="24"/>
          <w:szCs w:val="24"/>
        </w:rPr>
        <w:t xml:space="preserve">и </w:t>
      </w:r>
      <w:r w:rsidR="00AF4AC7">
        <w:rPr>
          <w:rFonts w:ascii="Times New Roman" w:hAnsi="Times New Roman" w:cs="Times New Roman"/>
          <w:sz w:val="24"/>
          <w:szCs w:val="24"/>
          <w:lang w:val="en-US"/>
        </w:rPr>
        <w:t>ex-post</w:t>
      </w:r>
      <w:r w:rsidR="00AF4AC7">
        <w:rPr>
          <w:rFonts w:ascii="Times New Roman" w:hAnsi="Times New Roman" w:cs="Times New Roman"/>
          <w:sz w:val="24"/>
          <w:szCs w:val="24"/>
        </w:rPr>
        <w:t xml:space="preserve"> регулаторни тела треба да развијат соодветни стратегии за односи со јавноста. Мораат континуирано да ја информираат широката јавност за своите задачи, активности и резултати од работењето. Во моментов, постоењето на најголем дел од институциите е непозната за голем дел од широката јавност.</w:t>
      </w:r>
    </w:p>
    <w:p w:rsidR="00AF4AC7" w:rsidRDefault="00AF4AC7" w:rsidP="005D118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 xml:space="preserve">) </w:t>
      </w:r>
      <w:r w:rsidR="00E546CF">
        <w:rPr>
          <w:rFonts w:ascii="Times New Roman" w:hAnsi="Times New Roman" w:cs="Times New Roman"/>
          <w:sz w:val="24"/>
          <w:szCs w:val="24"/>
        </w:rPr>
        <w:t xml:space="preserve">Една од значајните слабости претставува и недоволната соработка меѓу секторските </w:t>
      </w:r>
      <w:r w:rsidR="00E546CF">
        <w:rPr>
          <w:rFonts w:ascii="Times New Roman" w:hAnsi="Times New Roman" w:cs="Times New Roman"/>
          <w:sz w:val="24"/>
          <w:szCs w:val="24"/>
          <w:lang w:val="en-US"/>
        </w:rPr>
        <w:t xml:space="preserve">ex-ante </w:t>
      </w:r>
      <w:r w:rsidR="00E546CF">
        <w:rPr>
          <w:rFonts w:ascii="Times New Roman" w:hAnsi="Times New Roman" w:cs="Times New Roman"/>
          <w:sz w:val="24"/>
          <w:szCs w:val="24"/>
        </w:rPr>
        <w:t xml:space="preserve">регулаторни тела и КЗК како </w:t>
      </w:r>
      <w:r w:rsidR="00E546CF">
        <w:rPr>
          <w:rFonts w:ascii="Times New Roman" w:hAnsi="Times New Roman" w:cs="Times New Roman"/>
          <w:sz w:val="24"/>
          <w:szCs w:val="24"/>
          <w:lang w:val="en-US"/>
        </w:rPr>
        <w:t>ex-post</w:t>
      </w:r>
      <w:r w:rsidR="00E546CF">
        <w:rPr>
          <w:rFonts w:ascii="Times New Roman" w:hAnsi="Times New Roman" w:cs="Times New Roman"/>
          <w:sz w:val="24"/>
          <w:szCs w:val="24"/>
        </w:rPr>
        <w:t xml:space="preserve"> регулаторно тело. Како резултат на слабата соработка, во одделни пазари (како на пр. на пазарот на електронски комуникации, пазарите на енергетскиот </w:t>
      </w:r>
      <w:r w:rsidR="00EA1D28">
        <w:rPr>
          <w:rFonts w:ascii="Times New Roman" w:hAnsi="Times New Roman" w:cs="Times New Roman"/>
          <w:sz w:val="24"/>
          <w:szCs w:val="24"/>
        </w:rPr>
        <w:t>сектор</w:t>
      </w:r>
      <w:r w:rsidR="00E546CF">
        <w:rPr>
          <w:rFonts w:ascii="Times New Roman" w:hAnsi="Times New Roman" w:cs="Times New Roman"/>
          <w:sz w:val="24"/>
          <w:szCs w:val="24"/>
        </w:rPr>
        <w:t xml:space="preserve">, поштенскиот сообраќај) и покрај соодветната </w:t>
      </w:r>
      <w:r w:rsidR="00E546CF">
        <w:rPr>
          <w:rFonts w:ascii="Times New Roman" w:hAnsi="Times New Roman" w:cs="Times New Roman"/>
          <w:sz w:val="24"/>
          <w:szCs w:val="24"/>
          <w:lang w:val="en-US"/>
        </w:rPr>
        <w:t xml:space="preserve">ex-ante </w:t>
      </w:r>
      <w:r w:rsidR="00E546CF">
        <w:rPr>
          <w:rFonts w:ascii="Times New Roman" w:hAnsi="Times New Roman" w:cs="Times New Roman"/>
          <w:sz w:val="24"/>
          <w:szCs w:val="24"/>
        </w:rPr>
        <w:t xml:space="preserve">законска рамка, пазарите продуцираат субоптимални перформанси, </w:t>
      </w:r>
      <w:r w:rsidR="00E546CF">
        <w:rPr>
          <w:rFonts w:ascii="Times New Roman" w:hAnsi="Times New Roman" w:cs="Times New Roman"/>
          <w:sz w:val="24"/>
          <w:szCs w:val="24"/>
        </w:rPr>
        <w:lastRenderedPageBreak/>
        <w:t>на штета на потрошувачите и на конкурентите. Отсуството на соодветна реакција и постапки од страна на КЗК, ја потхранува доминантната позиција и злоупотребата на истата од страна на регулираните компании. Затоа, мора оваа соработка реално да се институционализра или преку формирање на заеднички комитети за соработка или преку заедничко водење на постапките против регулираните компании и редовно спроведување на секторски пазарни анализи.</w:t>
      </w:r>
    </w:p>
    <w:p w:rsidR="007C1A5C" w:rsidRDefault="00164EE1" w:rsidP="005D118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vi)</w:t>
      </w:r>
      <w:r>
        <w:rPr>
          <w:rFonts w:ascii="Times New Roman" w:hAnsi="Times New Roman" w:cs="Times New Roman"/>
          <w:sz w:val="24"/>
          <w:szCs w:val="24"/>
        </w:rPr>
        <w:t xml:space="preserve"> </w:t>
      </w:r>
      <w:r w:rsidR="00E532C6">
        <w:rPr>
          <w:rFonts w:ascii="Times New Roman" w:hAnsi="Times New Roman" w:cs="Times New Roman"/>
          <w:sz w:val="24"/>
          <w:szCs w:val="24"/>
        </w:rPr>
        <w:t>Остуството на о</w:t>
      </w:r>
      <w:r w:rsidR="0014344B">
        <w:rPr>
          <w:rFonts w:ascii="Times New Roman" w:hAnsi="Times New Roman" w:cs="Times New Roman"/>
          <w:sz w:val="24"/>
          <w:szCs w:val="24"/>
        </w:rPr>
        <w:t>т</w:t>
      </w:r>
      <w:r w:rsidR="00E532C6">
        <w:rPr>
          <w:rFonts w:ascii="Times New Roman" w:hAnsi="Times New Roman" w:cs="Times New Roman"/>
          <w:sz w:val="24"/>
          <w:szCs w:val="24"/>
        </w:rPr>
        <w:t>четност или недоволниот отчет во работењето  на владините институции и тела е општа слабост и проблем во македонското општество и економија. Нед</w:t>
      </w:r>
      <w:r w:rsidR="0014344B">
        <w:rPr>
          <w:rFonts w:ascii="Times New Roman" w:hAnsi="Times New Roman" w:cs="Times New Roman"/>
          <w:sz w:val="24"/>
          <w:szCs w:val="24"/>
        </w:rPr>
        <w:t>а</w:t>
      </w:r>
      <w:r w:rsidR="00E532C6">
        <w:rPr>
          <w:rFonts w:ascii="Times New Roman" w:hAnsi="Times New Roman" w:cs="Times New Roman"/>
          <w:sz w:val="24"/>
          <w:szCs w:val="24"/>
        </w:rPr>
        <w:t xml:space="preserve">вањето на отчет од сработеното и мерење на реалните ефекти од работата на сите буџетски институции и </w:t>
      </w:r>
      <w:r w:rsidR="0014344B">
        <w:rPr>
          <w:rFonts w:ascii="Times New Roman" w:hAnsi="Times New Roman" w:cs="Times New Roman"/>
          <w:sz w:val="24"/>
          <w:szCs w:val="24"/>
        </w:rPr>
        <w:t>регулаторни тела</w:t>
      </w:r>
      <w:r w:rsidR="00E532C6">
        <w:rPr>
          <w:rFonts w:ascii="Times New Roman" w:hAnsi="Times New Roman" w:cs="Times New Roman"/>
          <w:sz w:val="24"/>
          <w:szCs w:val="24"/>
        </w:rPr>
        <w:t xml:space="preserve"> е дел од нивната деловна култура и систем на вредност. Повторно ова е прашање на политичка волја и одговорност кон гласачите. </w:t>
      </w:r>
      <w:r w:rsidR="00E31A70">
        <w:rPr>
          <w:rFonts w:ascii="Times New Roman" w:hAnsi="Times New Roman" w:cs="Times New Roman"/>
          <w:sz w:val="24"/>
          <w:szCs w:val="24"/>
        </w:rPr>
        <w:t xml:space="preserve">Праксата за ex-post евалуација на ефектите од донесените одлуки </w:t>
      </w:r>
      <w:r w:rsidR="0014344B">
        <w:rPr>
          <w:rFonts w:ascii="Times New Roman" w:hAnsi="Times New Roman" w:cs="Times New Roman"/>
          <w:sz w:val="24"/>
          <w:szCs w:val="24"/>
        </w:rPr>
        <w:t xml:space="preserve">и на </w:t>
      </w:r>
      <w:r w:rsidR="00E532C6">
        <w:rPr>
          <w:rFonts w:ascii="Times New Roman" w:hAnsi="Times New Roman" w:cs="Times New Roman"/>
          <w:sz w:val="24"/>
          <w:szCs w:val="24"/>
        </w:rPr>
        <w:t xml:space="preserve">работата </w:t>
      </w:r>
      <w:r w:rsidR="0014344B">
        <w:rPr>
          <w:rFonts w:ascii="Times New Roman" w:hAnsi="Times New Roman" w:cs="Times New Roman"/>
          <w:sz w:val="24"/>
          <w:szCs w:val="24"/>
        </w:rPr>
        <w:t>кај</w:t>
      </w:r>
      <w:r w:rsidR="00E532C6">
        <w:rPr>
          <w:rFonts w:ascii="Times New Roman" w:hAnsi="Times New Roman" w:cs="Times New Roman"/>
          <w:sz w:val="24"/>
          <w:szCs w:val="24"/>
        </w:rPr>
        <w:t xml:space="preserve"> регулаторните институции </w:t>
      </w:r>
      <w:r w:rsidR="00E31A70">
        <w:rPr>
          <w:rFonts w:ascii="Times New Roman" w:hAnsi="Times New Roman" w:cs="Times New Roman"/>
          <w:sz w:val="24"/>
          <w:szCs w:val="24"/>
        </w:rPr>
        <w:t xml:space="preserve">воопшто не се применува. </w:t>
      </w:r>
      <w:r w:rsidR="0014344B">
        <w:rPr>
          <w:rFonts w:ascii="Times New Roman" w:hAnsi="Times New Roman" w:cs="Times New Roman"/>
          <w:sz w:val="24"/>
          <w:szCs w:val="24"/>
        </w:rPr>
        <w:t>За разлика</w:t>
      </w:r>
      <w:r w:rsidR="00E31A70">
        <w:rPr>
          <w:rFonts w:ascii="Times New Roman" w:hAnsi="Times New Roman" w:cs="Times New Roman"/>
          <w:sz w:val="24"/>
          <w:szCs w:val="24"/>
        </w:rPr>
        <w:t>, п</w:t>
      </w:r>
      <w:r w:rsidR="00E31A70" w:rsidRPr="00F93021">
        <w:rPr>
          <w:rFonts w:ascii="Times New Roman" w:hAnsi="Times New Roman" w:cs="Times New Roman"/>
          <w:sz w:val="24"/>
          <w:szCs w:val="24"/>
        </w:rPr>
        <w:t>очнувајќи</w:t>
      </w:r>
      <w:r w:rsidR="00E532C6">
        <w:rPr>
          <w:rFonts w:ascii="Times New Roman" w:hAnsi="Times New Roman" w:cs="Times New Roman"/>
          <w:sz w:val="24"/>
          <w:szCs w:val="24"/>
        </w:rPr>
        <w:t xml:space="preserve"> </w:t>
      </w:r>
      <w:r w:rsidR="00E31A70" w:rsidRPr="00F93021">
        <w:rPr>
          <w:rFonts w:ascii="Times New Roman" w:hAnsi="Times New Roman" w:cs="Times New Roman"/>
          <w:sz w:val="24"/>
          <w:szCs w:val="24"/>
        </w:rPr>
        <w:t>од 90-те години</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на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минатио</w:t>
      </w:r>
      <w:r w:rsidR="00E532C6">
        <w:rPr>
          <w:rFonts w:ascii="Times New Roman" w:hAnsi="Times New Roman" w:cs="Times New Roman"/>
          <w:sz w:val="24"/>
          <w:szCs w:val="24"/>
        </w:rPr>
        <w:t>т</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век, во</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развиените</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западни</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економии</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континуирано</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расте</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интересот</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за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мерење</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на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перформансите и ефектите</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од</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примената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на</w:t>
      </w:r>
      <w:r w:rsidR="00E31A70">
        <w:rPr>
          <w:rFonts w:ascii="Times New Roman" w:hAnsi="Times New Roman" w:cs="Times New Roman"/>
          <w:sz w:val="24"/>
          <w:szCs w:val="24"/>
        </w:rPr>
        <w:t xml:space="preserve"> </w:t>
      </w:r>
      <w:r w:rsidR="00E532C6">
        <w:rPr>
          <w:rFonts w:ascii="Times New Roman" w:hAnsi="Times New Roman" w:cs="Times New Roman"/>
          <w:sz w:val="24"/>
          <w:szCs w:val="24"/>
          <w:lang w:val="en-US"/>
        </w:rPr>
        <w:t xml:space="preserve">ex-ante </w:t>
      </w:r>
      <w:r w:rsidR="00E532C6">
        <w:rPr>
          <w:rFonts w:ascii="Times New Roman" w:hAnsi="Times New Roman" w:cs="Times New Roman"/>
          <w:sz w:val="24"/>
          <w:szCs w:val="24"/>
        </w:rPr>
        <w:t xml:space="preserve">и </w:t>
      </w:r>
      <w:r w:rsidR="00E532C6">
        <w:rPr>
          <w:rFonts w:ascii="Times New Roman" w:hAnsi="Times New Roman" w:cs="Times New Roman"/>
          <w:sz w:val="24"/>
          <w:szCs w:val="24"/>
          <w:lang w:val="en-US"/>
        </w:rPr>
        <w:t>ex-post</w:t>
      </w:r>
      <w:r w:rsidR="00E532C6">
        <w:rPr>
          <w:rFonts w:ascii="Times New Roman" w:hAnsi="Times New Roman" w:cs="Times New Roman"/>
          <w:sz w:val="24"/>
          <w:szCs w:val="24"/>
        </w:rPr>
        <w:t xml:space="preserve"> пазарната регулатива</w:t>
      </w:r>
      <w:r w:rsidR="00E31A70" w:rsidRPr="00F93021">
        <w:rPr>
          <w:rFonts w:ascii="Times New Roman" w:hAnsi="Times New Roman" w:cs="Times New Roman"/>
          <w:sz w:val="24"/>
          <w:szCs w:val="24"/>
        </w:rPr>
        <w:t xml:space="preserve"> како и евалуација на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работата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на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државните</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институции и агенции</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задолжени</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за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спроведување</w:t>
      </w:r>
      <w:r w:rsidR="00E31A70">
        <w:rPr>
          <w:rFonts w:ascii="Times New Roman" w:hAnsi="Times New Roman" w:cs="Times New Roman"/>
          <w:sz w:val="24"/>
          <w:szCs w:val="24"/>
        </w:rPr>
        <w:t xml:space="preserve"> н</w:t>
      </w:r>
      <w:r w:rsidR="00E31A70" w:rsidRPr="00F93021">
        <w:rPr>
          <w:rFonts w:ascii="Times New Roman" w:hAnsi="Times New Roman" w:cs="Times New Roman"/>
          <w:sz w:val="24"/>
          <w:szCs w:val="24"/>
        </w:rPr>
        <w:t>а</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овие</w:t>
      </w:r>
      <w:r w:rsidR="00E31A70">
        <w:rPr>
          <w:rFonts w:ascii="Times New Roman" w:hAnsi="Times New Roman" w:cs="Times New Roman"/>
          <w:sz w:val="24"/>
          <w:szCs w:val="24"/>
        </w:rPr>
        <w:t xml:space="preserve"> </w:t>
      </w:r>
      <w:r w:rsidR="00E31A70" w:rsidRPr="00F93021">
        <w:rPr>
          <w:rFonts w:ascii="Times New Roman" w:hAnsi="Times New Roman" w:cs="Times New Roman"/>
          <w:sz w:val="24"/>
          <w:szCs w:val="24"/>
        </w:rPr>
        <w:t>политики</w:t>
      </w:r>
      <w:r w:rsidR="00E31A70">
        <w:rPr>
          <w:rStyle w:val="FootnoteReference"/>
          <w:rFonts w:ascii="Times New Roman" w:hAnsi="Times New Roman" w:cs="Times New Roman"/>
          <w:sz w:val="24"/>
          <w:szCs w:val="24"/>
        </w:rPr>
        <w:footnoteReference w:id="5"/>
      </w:r>
      <w:r w:rsidR="00E31A70">
        <w:rPr>
          <w:rFonts w:ascii="Times New Roman" w:hAnsi="Times New Roman" w:cs="Times New Roman"/>
          <w:sz w:val="24"/>
          <w:szCs w:val="24"/>
        </w:rPr>
        <w:t>. Во сржта на Агендата за прудентна регулација на Европската комисија (2013) (Smart regulation Agenda) лежи намерата за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подобрување на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регулативата и нејзината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имплементација. Имено, евалуацијата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треба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да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даде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подобар</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увид</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дали</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политиките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на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владите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ги</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даваа</w:t>
      </w:r>
      <w:r w:rsidR="00EA1D28">
        <w:rPr>
          <w:rFonts w:ascii="Times New Roman" w:hAnsi="Times New Roman" w:cs="Times New Roman"/>
          <w:sz w:val="24"/>
          <w:szCs w:val="24"/>
        </w:rPr>
        <w:t xml:space="preserve">т </w:t>
      </w:r>
      <w:r w:rsidR="00E31A70">
        <w:rPr>
          <w:rFonts w:ascii="Times New Roman" w:hAnsi="Times New Roman" w:cs="Times New Roman"/>
          <w:sz w:val="24"/>
          <w:szCs w:val="24"/>
        </w:rPr>
        <w:t>посакуваните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ефекти, и во</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таа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насока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се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добра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основа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за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развој и примен</w:t>
      </w:r>
      <w:r w:rsidR="00EA1D28">
        <w:rPr>
          <w:rFonts w:ascii="Times New Roman" w:hAnsi="Times New Roman" w:cs="Times New Roman"/>
          <w:sz w:val="24"/>
          <w:szCs w:val="24"/>
        </w:rPr>
        <w:t xml:space="preserve">а </w:t>
      </w:r>
      <w:r w:rsidR="00E31A70">
        <w:rPr>
          <w:rFonts w:ascii="Times New Roman" w:hAnsi="Times New Roman" w:cs="Times New Roman"/>
          <w:sz w:val="24"/>
          <w:szCs w:val="24"/>
        </w:rPr>
        <w:t>на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подобра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регулатива и политики.</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Исто</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 xml:space="preserve">така, </w:t>
      </w:r>
      <w:r w:rsidR="00E31A70">
        <w:rPr>
          <w:rFonts w:ascii="Times New Roman" w:hAnsi="Times New Roman" w:cs="Times New Roman"/>
          <w:sz w:val="24"/>
          <w:szCs w:val="24"/>
        </w:rPr>
        <w:t>со</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цел</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да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се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постигне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меѓународна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споредливост</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на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ефектите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на</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овие</w:t>
      </w:r>
      <w:r w:rsidR="00EA1D28">
        <w:rPr>
          <w:rFonts w:ascii="Times New Roman" w:hAnsi="Times New Roman" w:cs="Times New Roman"/>
          <w:sz w:val="24"/>
          <w:szCs w:val="24"/>
        </w:rPr>
        <w:t xml:space="preserve"> </w:t>
      </w:r>
      <w:r w:rsidR="00E31A70">
        <w:rPr>
          <w:rFonts w:ascii="Times New Roman" w:hAnsi="Times New Roman" w:cs="Times New Roman"/>
          <w:sz w:val="24"/>
          <w:szCs w:val="24"/>
        </w:rPr>
        <w:t xml:space="preserve">политики, </w:t>
      </w:r>
      <w:r w:rsidR="00E31A70" w:rsidRPr="00F93021">
        <w:rPr>
          <w:rFonts w:ascii="Times New Roman" w:hAnsi="Times New Roman" w:cs="Times New Roman"/>
          <w:sz w:val="24"/>
          <w:szCs w:val="24"/>
        </w:rPr>
        <w:t>во</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рамките</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на OECD</w:t>
      </w:r>
      <w:r w:rsidR="00E31A70">
        <w:rPr>
          <w:rFonts w:ascii="Times New Roman" w:hAnsi="Times New Roman" w:cs="Times New Roman"/>
          <w:sz w:val="24"/>
          <w:szCs w:val="24"/>
        </w:rPr>
        <w:t xml:space="preserve"> (2014) и OECD (2016)</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се</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преземаат</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активности</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за</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усогласување</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на</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методологиите</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за евалуација на</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одделните</w:t>
      </w:r>
      <w:r w:rsidR="00EA1D28">
        <w:rPr>
          <w:rFonts w:ascii="Times New Roman" w:hAnsi="Times New Roman" w:cs="Times New Roman"/>
          <w:sz w:val="24"/>
          <w:szCs w:val="24"/>
        </w:rPr>
        <w:t xml:space="preserve"> </w:t>
      </w:r>
      <w:r w:rsidR="00E31A70" w:rsidRPr="00F93021">
        <w:rPr>
          <w:rFonts w:ascii="Times New Roman" w:hAnsi="Times New Roman" w:cs="Times New Roman"/>
          <w:sz w:val="24"/>
          <w:szCs w:val="24"/>
        </w:rPr>
        <w:t>национални</w:t>
      </w:r>
      <w:r w:rsidR="00EA1D28">
        <w:rPr>
          <w:rFonts w:ascii="Times New Roman" w:hAnsi="Times New Roman" w:cs="Times New Roman"/>
          <w:sz w:val="24"/>
          <w:szCs w:val="24"/>
        </w:rPr>
        <w:t xml:space="preserve"> </w:t>
      </w:r>
      <w:r w:rsidR="00EA1D28">
        <w:rPr>
          <w:rFonts w:ascii="Times New Roman" w:hAnsi="Times New Roman" w:cs="Times New Roman"/>
          <w:sz w:val="24"/>
          <w:szCs w:val="24"/>
          <w:lang w:val="en-US"/>
        </w:rPr>
        <w:t xml:space="preserve">ex-ante </w:t>
      </w:r>
      <w:r w:rsidR="00EA1D28">
        <w:rPr>
          <w:rFonts w:ascii="Times New Roman" w:hAnsi="Times New Roman" w:cs="Times New Roman"/>
          <w:sz w:val="24"/>
          <w:szCs w:val="24"/>
        </w:rPr>
        <w:t xml:space="preserve">и </w:t>
      </w:r>
      <w:r w:rsidR="00EA1D28">
        <w:rPr>
          <w:rFonts w:ascii="Times New Roman" w:hAnsi="Times New Roman" w:cs="Times New Roman"/>
          <w:sz w:val="24"/>
          <w:szCs w:val="24"/>
          <w:lang w:val="en-US"/>
        </w:rPr>
        <w:t xml:space="preserve">ex-post </w:t>
      </w:r>
      <w:r w:rsidR="00EA1D28">
        <w:rPr>
          <w:rFonts w:ascii="Times New Roman" w:hAnsi="Times New Roman" w:cs="Times New Roman"/>
          <w:sz w:val="24"/>
          <w:szCs w:val="24"/>
        </w:rPr>
        <w:t xml:space="preserve">пазарни </w:t>
      </w:r>
      <w:r w:rsidR="00E31A70" w:rsidRPr="00F93021">
        <w:rPr>
          <w:rFonts w:ascii="Times New Roman" w:hAnsi="Times New Roman" w:cs="Times New Roman"/>
          <w:sz w:val="24"/>
          <w:szCs w:val="24"/>
        </w:rPr>
        <w:t>регулативи</w:t>
      </w:r>
      <w:r w:rsidR="00EA1D28">
        <w:rPr>
          <w:rFonts w:ascii="Times New Roman" w:hAnsi="Times New Roman" w:cs="Times New Roman"/>
          <w:sz w:val="24"/>
          <w:szCs w:val="24"/>
        </w:rPr>
        <w:t>. Во таа насока е и следнава препорака. Повторно под експертската и стручна ангажираност на МАНУ, почитувајќи ги методолошките насоки и упатства за најдобр</w:t>
      </w:r>
      <w:r w:rsidR="00CB0884">
        <w:rPr>
          <w:rFonts w:ascii="Times New Roman" w:hAnsi="Times New Roman" w:cs="Times New Roman"/>
          <w:sz w:val="24"/>
          <w:szCs w:val="24"/>
        </w:rPr>
        <w:t>и</w:t>
      </w:r>
      <w:r w:rsidR="00EA1D28">
        <w:rPr>
          <w:rFonts w:ascii="Times New Roman" w:hAnsi="Times New Roman" w:cs="Times New Roman"/>
          <w:sz w:val="24"/>
          <w:szCs w:val="24"/>
        </w:rPr>
        <w:t xml:space="preserve"> практики разработени од страна на </w:t>
      </w:r>
      <w:r w:rsidR="00EA1D28">
        <w:rPr>
          <w:rFonts w:ascii="Times New Roman" w:hAnsi="Times New Roman" w:cs="Times New Roman"/>
          <w:sz w:val="24"/>
          <w:szCs w:val="24"/>
          <w:lang w:val="en-US"/>
        </w:rPr>
        <w:t xml:space="preserve">OECD </w:t>
      </w:r>
      <w:r w:rsidR="00EA1D28">
        <w:rPr>
          <w:rFonts w:ascii="Times New Roman" w:hAnsi="Times New Roman" w:cs="Times New Roman"/>
          <w:sz w:val="24"/>
          <w:szCs w:val="24"/>
        </w:rPr>
        <w:t xml:space="preserve">и институциите на Европската унија да се дефинира соодветната </w:t>
      </w:r>
      <w:r w:rsidR="00CB0884">
        <w:rPr>
          <w:rFonts w:ascii="Times New Roman" w:hAnsi="Times New Roman" w:cs="Times New Roman"/>
          <w:sz w:val="24"/>
          <w:szCs w:val="24"/>
        </w:rPr>
        <w:t xml:space="preserve">методолошка </w:t>
      </w:r>
      <w:r w:rsidR="00EA1D28">
        <w:rPr>
          <w:rFonts w:ascii="Times New Roman" w:hAnsi="Times New Roman" w:cs="Times New Roman"/>
          <w:sz w:val="24"/>
          <w:szCs w:val="24"/>
        </w:rPr>
        <w:t xml:space="preserve">рамка и да се креираат соодветните индекси за </w:t>
      </w:r>
      <w:r w:rsidR="007C1A5C">
        <w:rPr>
          <w:rFonts w:ascii="Times New Roman" w:hAnsi="Times New Roman" w:cs="Times New Roman"/>
          <w:sz w:val="24"/>
          <w:szCs w:val="24"/>
        </w:rPr>
        <w:t xml:space="preserve">мерење на ефектите и </w:t>
      </w:r>
      <w:r w:rsidR="00CB0884">
        <w:rPr>
          <w:rFonts w:ascii="Times New Roman" w:hAnsi="Times New Roman" w:cs="Times New Roman"/>
          <w:sz w:val="24"/>
          <w:szCs w:val="24"/>
        </w:rPr>
        <w:t>следење</w:t>
      </w:r>
      <w:r w:rsidR="007C1A5C">
        <w:rPr>
          <w:rFonts w:ascii="Times New Roman" w:hAnsi="Times New Roman" w:cs="Times New Roman"/>
          <w:sz w:val="24"/>
          <w:szCs w:val="24"/>
        </w:rPr>
        <w:t xml:space="preserve"> на резултатите</w:t>
      </w:r>
      <w:r w:rsidR="00CB0884">
        <w:rPr>
          <w:rFonts w:ascii="Times New Roman" w:hAnsi="Times New Roman" w:cs="Times New Roman"/>
          <w:sz w:val="24"/>
          <w:szCs w:val="24"/>
        </w:rPr>
        <w:t xml:space="preserve"> од работата</w:t>
      </w:r>
      <w:r w:rsidR="007C1A5C">
        <w:rPr>
          <w:rFonts w:ascii="Times New Roman" w:hAnsi="Times New Roman" w:cs="Times New Roman"/>
          <w:sz w:val="24"/>
          <w:szCs w:val="24"/>
        </w:rPr>
        <w:t xml:space="preserve"> на регулаторните тела</w:t>
      </w:r>
      <w:r w:rsidR="00CB0884">
        <w:rPr>
          <w:rFonts w:ascii="Times New Roman" w:hAnsi="Times New Roman" w:cs="Times New Roman"/>
          <w:sz w:val="24"/>
          <w:szCs w:val="24"/>
        </w:rPr>
        <w:t>.</w:t>
      </w:r>
    </w:p>
    <w:p w:rsidR="007C1A5C" w:rsidRDefault="007C1A5C" w:rsidP="005D1186">
      <w:pPr>
        <w:jc w:val="both"/>
        <w:rPr>
          <w:rFonts w:ascii="Times New Roman" w:hAnsi="Times New Roman" w:cs="Times New Roman"/>
          <w:sz w:val="24"/>
          <w:szCs w:val="24"/>
        </w:rPr>
      </w:pPr>
    </w:p>
    <w:p w:rsidR="00644A9D" w:rsidRDefault="00644A9D" w:rsidP="005D1186">
      <w:pPr>
        <w:jc w:val="both"/>
        <w:rPr>
          <w:rFonts w:ascii="Times New Roman" w:hAnsi="Times New Roman" w:cs="Times New Roman"/>
          <w:sz w:val="24"/>
          <w:szCs w:val="24"/>
        </w:rPr>
      </w:pPr>
    </w:p>
    <w:p w:rsidR="00644A9D" w:rsidRDefault="00644A9D" w:rsidP="005D1186">
      <w:pPr>
        <w:jc w:val="both"/>
        <w:rPr>
          <w:rFonts w:ascii="Times New Roman" w:hAnsi="Times New Roman" w:cs="Times New Roman"/>
          <w:sz w:val="24"/>
          <w:szCs w:val="24"/>
        </w:rPr>
      </w:pPr>
    </w:p>
    <w:p w:rsidR="00644A9D" w:rsidRDefault="00DC4677" w:rsidP="00644A9D">
      <w:pPr>
        <w:jc w:val="both"/>
        <w:rPr>
          <w:rFonts w:ascii="Times New Roman" w:hAnsi="Times New Roman" w:cs="Times New Roman"/>
          <w:b/>
          <w:sz w:val="24"/>
          <w:szCs w:val="24"/>
        </w:rPr>
      </w:pPr>
      <w:r w:rsidRPr="006C2FC2">
        <w:rPr>
          <w:rFonts w:ascii="Times New Roman" w:hAnsi="Times New Roman" w:cs="Times New Roman"/>
          <w:b/>
          <w:sz w:val="24"/>
          <w:szCs w:val="24"/>
        </w:rPr>
        <w:lastRenderedPageBreak/>
        <w:t>Користена литература:</w:t>
      </w:r>
    </w:p>
    <w:p w:rsidR="00644A9D" w:rsidRPr="00644A9D" w:rsidRDefault="00644A9D" w:rsidP="00644A9D">
      <w:pPr>
        <w:jc w:val="both"/>
        <w:rPr>
          <w:rFonts w:ascii="Times New Roman" w:hAnsi="Times New Roman" w:cs="Times New Roman"/>
          <w:b/>
          <w:sz w:val="24"/>
          <w:szCs w:val="24"/>
        </w:rPr>
      </w:pPr>
      <w:r w:rsidRPr="006C2FC2">
        <w:rPr>
          <w:rFonts w:ascii="Times New Roman" w:hAnsi="Times New Roman" w:cs="Times New Roman"/>
          <w:sz w:val="24"/>
          <w:szCs w:val="24"/>
        </w:rPr>
        <w:t xml:space="preserve">Baldwin R. Ј. and Cave M. (1999). </w:t>
      </w:r>
      <w:r w:rsidRPr="006C2FC2">
        <w:rPr>
          <w:rFonts w:ascii="Times New Roman" w:hAnsi="Times New Roman" w:cs="Times New Roman"/>
          <w:i/>
          <w:iCs/>
          <w:sz w:val="24"/>
          <w:szCs w:val="24"/>
        </w:rPr>
        <w:t>Understanding Regulation: Theory, Strategy and</w:t>
      </w:r>
      <w:r w:rsidRPr="006C2FC2">
        <w:rPr>
          <w:rFonts w:ascii="Times New Roman" w:hAnsi="Times New Roman" w:cs="Times New Roman"/>
          <w:i/>
          <w:iCs/>
          <w:sz w:val="24"/>
          <w:szCs w:val="24"/>
          <w:lang w:val="en-US"/>
        </w:rPr>
        <w:t xml:space="preserve"> </w:t>
      </w:r>
      <w:r w:rsidRPr="006C2FC2">
        <w:rPr>
          <w:rFonts w:ascii="Times New Roman" w:hAnsi="Times New Roman" w:cs="Times New Roman"/>
          <w:i/>
          <w:iCs/>
          <w:sz w:val="24"/>
          <w:szCs w:val="24"/>
        </w:rPr>
        <w:t>Practice</w:t>
      </w:r>
      <w:r w:rsidRPr="006C2FC2">
        <w:rPr>
          <w:rFonts w:ascii="Times New Roman" w:hAnsi="Times New Roman" w:cs="Times New Roman"/>
          <w:sz w:val="24"/>
          <w:szCs w:val="24"/>
        </w:rPr>
        <w:t>, Oxford University Press, New York;</w:t>
      </w:r>
    </w:p>
    <w:p w:rsidR="00644A9D" w:rsidRDefault="00644A9D" w:rsidP="00644A9D">
      <w:pPr>
        <w:jc w:val="both"/>
        <w:rPr>
          <w:rFonts w:ascii="Times New Roman" w:hAnsi="Times New Roman" w:cs="Times New Roman"/>
          <w:sz w:val="24"/>
          <w:szCs w:val="24"/>
        </w:rPr>
      </w:pPr>
      <w:r w:rsidRPr="00B00DB7">
        <w:rPr>
          <w:rFonts w:ascii="Times New Roman" w:hAnsi="Times New Roman" w:cs="Times New Roman"/>
          <w:sz w:val="24"/>
          <w:szCs w:val="24"/>
        </w:rPr>
        <w:t xml:space="preserve">Beker J. (2003): “The Case for Antitrust Enforcement”, </w:t>
      </w:r>
      <w:r w:rsidRPr="00B00DB7">
        <w:rPr>
          <w:rFonts w:ascii="Times New Roman" w:hAnsi="Times New Roman" w:cs="Times New Roman"/>
          <w:i/>
          <w:iCs/>
          <w:sz w:val="24"/>
          <w:szCs w:val="24"/>
        </w:rPr>
        <w:t>Journal of Economic Perspectives</w:t>
      </w:r>
      <w:r w:rsidRPr="00B00DB7">
        <w:rPr>
          <w:rFonts w:ascii="Times New Roman" w:hAnsi="Times New Roman" w:cs="Times New Roman"/>
          <w:sz w:val="24"/>
          <w:szCs w:val="24"/>
        </w:rPr>
        <w:t>, Vol.17, pp. 27-50;</w:t>
      </w:r>
    </w:p>
    <w:p w:rsidR="00644A9D" w:rsidRPr="004C4434" w:rsidRDefault="00644A9D" w:rsidP="00644A9D">
      <w:pPr>
        <w:jc w:val="both"/>
        <w:rPr>
          <w:rFonts w:ascii="Times New Roman" w:hAnsi="Times New Roman" w:cs="Times New Roman"/>
          <w:sz w:val="24"/>
          <w:szCs w:val="24"/>
        </w:rPr>
      </w:pPr>
      <w:r w:rsidRPr="004C4434">
        <w:rPr>
          <w:rFonts w:ascii="Times New Roman" w:hAnsi="Times New Roman" w:cs="Times New Roman"/>
          <w:sz w:val="24"/>
          <w:szCs w:val="24"/>
        </w:rPr>
        <w:t xml:space="preserve">Dutz A. M. and Vagliasindi M. (2000), “Competition Policy Implementation In Transition Economies: An Empirical Assessment”, </w:t>
      </w:r>
      <w:r w:rsidRPr="004C4434">
        <w:rPr>
          <w:rFonts w:ascii="Times New Roman" w:hAnsi="Times New Roman" w:cs="Times New Roman"/>
          <w:i/>
          <w:iCs/>
          <w:sz w:val="24"/>
          <w:szCs w:val="24"/>
        </w:rPr>
        <w:t xml:space="preserve">European Economic Review </w:t>
      </w:r>
      <w:r w:rsidRPr="004C4434">
        <w:rPr>
          <w:rFonts w:ascii="Times New Roman" w:hAnsi="Times New Roman" w:cs="Times New Roman"/>
          <w:sz w:val="24"/>
          <w:szCs w:val="24"/>
        </w:rPr>
        <w:t>44,  pp. 762-772;</w:t>
      </w:r>
    </w:p>
    <w:p w:rsidR="00644A9D" w:rsidRPr="006C2FC2" w:rsidRDefault="00644A9D" w:rsidP="00644A9D">
      <w:pPr>
        <w:jc w:val="both"/>
        <w:rPr>
          <w:rFonts w:ascii="Times New Roman" w:hAnsi="Times New Roman" w:cs="Times New Roman"/>
          <w:sz w:val="24"/>
          <w:szCs w:val="24"/>
        </w:rPr>
      </w:pPr>
      <w:r w:rsidRPr="006C2FC2">
        <w:rPr>
          <w:rFonts w:ascii="Times New Roman" w:hAnsi="Times New Roman" w:cs="Times New Roman"/>
          <w:sz w:val="24"/>
          <w:szCs w:val="24"/>
        </w:rPr>
        <w:t xml:space="preserve"> </w:t>
      </w:r>
      <w:r w:rsidRPr="006C2FC2">
        <w:rPr>
          <w:rFonts w:ascii="Times New Roman" w:hAnsi="Times New Roman" w:cs="Times New Roman"/>
          <w:sz w:val="24"/>
          <w:szCs w:val="24"/>
          <w:lang w:val="en-US"/>
        </w:rPr>
        <w:t>EBRD</w:t>
      </w:r>
      <w:r w:rsidRPr="006C2FC2">
        <w:rPr>
          <w:rFonts w:ascii="Times New Roman" w:hAnsi="Times New Roman" w:cs="Times New Roman"/>
          <w:sz w:val="24"/>
          <w:szCs w:val="24"/>
        </w:rPr>
        <w:t xml:space="preserve"> (2006): </w:t>
      </w:r>
      <w:r w:rsidRPr="006C2FC2">
        <w:rPr>
          <w:rFonts w:ascii="Times New Roman" w:hAnsi="Times New Roman" w:cs="Times New Roman"/>
          <w:sz w:val="24"/>
          <w:szCs w:val="24"/>
          <w:lang w:val="en-US"/>
        </w:rPr>
        <w:t xml:space="preserve">Transition Report </w:t>
      </w:r>
    </w:p>
    <w:p w:rsidR="00644A9D" w:rsidRPr="00EA1D28" w:rsidRDefault="00644A9D" w:rsidP="00644A9D">
      <w:pPr>
        <w:spacing w:after="0"/>
        <w:jc w:val="both"/>
        <w:rPr>
          <w:rFonts w:ascii="Times New Roman" w:hAnsi="Times New Roman" w:cs="Times New Roman"/>
          <w:sz w:val="24"/>
          <w:szCs w:val="24"/>
        </w:rPr>
      </w:pPr>
      <w:r w:rsidRPr="00EA1D28">
        <w:rPr>
          <w:rFonts w:ascii="Times New Roman" w:hAnsi="Times New Roman" w:cs="Times New Roman"/>
          <w:sz w:val="24"/>
          <w:szCs w:val="24"/>
        </w:rPr>
        <w:t>European Commission (2013):Strengthening the foundations of Smart Regulation - improving regulation, Communication of the Commission, COM (2013) 686 final</w:t>
      </w:r>
    </w:p>
    <w:p w:rsidR="00644A9D" w:rsidRPr="004C4434" w:rsidRDefault="00644A9D" w:rsidP="00644A9D">
      <w:pPr>
        <w:jc w:val="both"/>
        <w:rPr>
          <w:rFonts w:ascii="Times New Roman" w:hAnsi="Times New Roman" w:cs="Times New Roman"/>
          <w:sz w:val="24"/>
          <w:szCs w:val="24"/>
        </w:rPr>
      </w:pPr>
      <w:r w:rsidRPr="004C4434">
        <w:rPr>
          <w:rFonts w:ascii="Times New Roman" w:hAnsi="Times New Roman" w:cs="Times New Roman"/>
          <w:sz w:val="24"/>
          <w:szCs w:val="24"/>
        </w:rPr>
        <w:t>Fingleton J. F</w:t>
      </w:r>
      <w:r w:rsidRPr="004C4434">
        <w:rPr>
          <w:rFonts w:ascii="Times New Roman" w:hAnsi="Times New Roman" w:cs="Times New Roman"/>
          <w:sz w:val="24"/>
          <w:szCs w:val="24"/>
          <w:lang w:val="en-US"/>
        </w:rPr>
        <w:t>.</w:t>
      </w:r>
      <w:r w:rsidRPr="004C4434">
        <w:rPr>
          <w:rFonts w:ascii="Times New Roman" w:hAnsi="Times New Roman" w:cs="Times New Roman"/>
          <w:sz w:val="24"/>
          <w:szCs w:val="24"/>
        </w:rPr>
        <w:t xml:space="preserve">, Neven D. and Saebright P (1996): </w:t>
      </w:r>
      <w:r w:rsidRPr="004C4434">
        <w:rPr>
          <w:rFonts w:ascii="Times New Roman" w:hAnsi="Times New Roman" w:cs="Times New Roman"/>
          <w:i/>
          <w:iCs/>
          <w:sz w:val="24"/>
          <w:szCs w:val="24"/>
        </w:rPr>
        <w:t>Competition Policy and The Transformation of Central Europe</w:t>
      </w:r>
      <w:r w:rsidRPr="004C4434">
        <w:rPr>
          <w:rFonts w:ascii="Times New Roman" w:hAnsi="Times New Roman" w:cs="Times New Roman"/>
          <w:sz w:val="24"/>
          <w:szCs w:val="24"/>
        </w:rPr>
        <w:t>, Brookings Inst CEPR, London;</w:t>
      </w:r>
    </w:p>
    <w:p w:rsidR="00644A9D" w:rsidRPr="00B00DB7" w:rsidRDefault="00644A9D" w:rsidP="00644A9D">
      <w:pPr>
        <w:jc w:val="both"/>
        <w:rPr>
          <w:rFonts w:ascii="Times New Roman" w:hAnsi="Times New Roman" w:cs="Times New Roman"/>
          <w:sz w:val="24"/>
          <w:szCs w:val="24"/>
        </w:rPr>
      </w:pPr>
      <w:r w:rsidRPr="00B00DB7">
        <w:rPr>
          <w:rFonts w:ascii="Times New Roman" w:hAnsi="Times New Roman" w:cs="Times New Roman"/>
          <w:sz w:val="24"/>
          <w:szCs w:val="24"/>
        </w:rPr>
        <w:t xml:space="preserve">Geroski P. (2006): </w:t>
      </w:r>
      <w:r w:rsidRPr="00B00DB7">
        <w:rPr>
          <w:rFonts w:ascii="Times New Roman" w:hAnsi="Times New Roman" w:cs="Times New Roman"/>
          <w:i/>
          <w:iCs/>
          <w:sz w:val="24"/>
          <w:szCs w:val="24"/>
        </w:rPr>
        <w:t>Essays in Competition Policy</w:t>
      </w:r>
      <w:r w:rsidRPr="00B00DB7">
        <w:rPr>
          <w:rFonts w:ascii="Times New Roman" w:hAnsi="Times New Roman" w:cs="Times New Roman"/>
          <w:sz w:val="24"/>
          <w:szCs w:val="24"/>
        </w:rPr>
        <w:t>, Competition Commission, London</w:t>
      </w:r>
    </w:p>
    <w:p w:rsidR="00644A9D" w:rsidRPr="006C2FC2" w:rsidRDefault="00644A9D" w:rsidP="00644A9D">
      <w:pPr>
        <w:jc w:val="both"/>
        <w:rPr>
          <w:rFonts w:ascii="Times New Roman" w:hAnsi="Times New Roman" w:cs="Times New Roman"/>
          <w:sz w:val="24"/>
          <w:szCs w:val="24"/>
          <w:lang w:val="en-US"/>
        </w:rPr>
      </w:pPr>
      <w:r w:rsidRPr="006C2FC2">
        <w:rPr>
          <w:rFonts w:ascii="Times New Roman" w:hAnsi="Times New Roman" w:cs="Times New Roman"/>
          <w:sz w:val="24"/>
          <w:szCs w:val="24"/>
        </w:rPr>
        <w:t>Hüschelrath K. (2008): “Is it Worth all the Trouble? – The Costs and Benefits of Antitrust Enforcement”, Discussion Paper No. 08-107, ZEW, CEER;</w:t>
      </w:r>
    </w:p>
    <w:p w:rsidR="00644A9D" w:rsidRPr="00E31A70" w:rsidRDefault="00644A9D" w:rsidP="00644A9D">
      <w:pPr>
        <w:jc w:val="both"/>
        <w:rPr>
          <w:rFonts w:ascii="Times New Roman" w:hAnsi="Times New Roman" w:cs="Times New Roman"/>
          <w:sz w:val="24"/>
          <w:szCs w:val="24"/>
        </w:rPr>
      </w:pPr>
      <w:r w:rsidRPr="00B00DB7">
        <w:rPr>
          <w:rFonts w:ascii="Times New Roman" w:hAnsi="Times New Roman" w:cs="Times New Roman"/>
          <w:sz w:val="24"/>
          <w:szCs w:val="24"/>
        </w:rPr>
        <w:t xml:space="preserve">Hüschelrath K. (2008): “Is it Worth all the Trouble? – The Costs and Benefits of Antitrust </w:t>
      </w:r>
      <w:r w:rsidRPr="00E31A70">
        <w:rPr>
          <w:rFonts w:ascii="Times New Roman" w:hAnsi="Times New Roman" w:cs="Times New Roman"/>
          <w:sz w:val="24"/>
          <w:szCs w:val="24"/>
        </w:rPr>
        <w:t>Enforcement”, Discussion Paper No. 08-107, ZEW, CEER;</w:t>
      </w:r>
    </w:p>
    <w:p w:rsidR="00644A9D" w:rsidRPr="004C4434" w:rsidRDefault="00644A9D" w:rsidP="00644A9D">
      <w:pPr>
        <w:jc w:val="both"/>
        <w:rPr>
          <w:rFonts w:ascii="Times New Roman" w:hAnsi="Times New Roman" w:cs="Times New Roman"/>
          <w:sz w:val="24"/>
          <w:szCs w:val="24"/>
        </w:rPr>
      </w:pPr>
      <w:r w:rsidRPr="00C56180">
        <w:rPr>
          <w:rFonts w:ascii="Times New Roman" w:hAnsi="Times New Roman" w:cs="Times New Roman"/>
          <w:sz w:val="24"/>
          <w:szCs w:val="24"/>
        </w:rPr>
        <w:t xml:space="preserve">Khemani. R.S. (editor) (1999): </w:t>
      </w:r>
      <w:r w:rsidRPr="00C56180">
        <w:rPr>
          <w:rFonts w:ascii="Times New Roman" w:hAnsi="Times New Roman" w:cs="Times New Roman"/>
          <w:i/>
          <w:iCs/>
          <w:sz w:val="24"/>
          <w:szCs w:val="24"/>
        </w:rPr>
        <w:t xml:space="preserve">A Framework for the Design and Implementation of </w:t>
      </w:r>
      <w:r w:rsidRPr="004C4434">
        <w:rPr>
          <w:rFonts w:ascii="Times New Roman" w:hAnsi="Times New Roman" w:cs="Times New Roman"/>
          <w:i/>
          <w:iCs/>
          <w:sz w:val="24"/>
          <w:szCs w:val="24"/>
        </w:rPr>
        <w:t xml:space="preserve">Competition Law and Policy, </w:t>
      </w:r>
      <w:r w:rsidRPr="004C4434">
        <w:rPr>
          <w:rFonts w:ascii="Times New Roman" w:hAnsi="Times New Roman" w:cs="Times New Roman"/>
          <w:sz w:val="24"/>
          <w:szCs w:val="24"/>
        </w:rPr>
        <w:t>World Bank and OECD;</w:t>
      </w:r>
    </w:p>
    <w:p w:rsidR="00644A9D" w:rsidRDefault="00644A9D" w:rsidP="00644A9D">
      <w:pPr>
        <w:jc w:val="both"/>
        <w:rPr>
          <w:rFonts w:ascii="Times New Roman" w:hAnsi="Times New Roman" w:cs="Times New Roman"/>
          <w:sz w:val="24"/>
          <w:szCs w:val="24"/>
        </w:rPr>
      </w:pPr>
      <w:r>
        <w:rPr>
          <w:rFonts w:ascii="Times New Roman" w:hAnsi="Times New Roman" w:cs="Times New Roman"/>
          <w:sz w:val="24"/>
          <w:szCs w:val="24"/>
          <w:lang w:val="en-US"/>
        </w:rPr>
        <w:t xml:space="preserve">Klaus Schwab, editor, </w:t>
      </w:r>
      <w:r>
        <w:rPr>
          <w:rFonts w:ascii="Times New Roman" w:hAnsi="Times New Roman" w:cs="Times New Roman"/>
          <w:sz w:val="24"/>
          <w:szCs w:val="24"/>
        </w:rPr>
        <w:t>(2018)</w:t>
      </w:r>
      <w:r w:rsidRPr="00CF50A5">
        <w:rPr>
          <w:rFonts w:ascii="Times New Roman" w:hAnsi="Times New Roman" w:cs="Times New Roman"/>
          <w:b/>
          <w:sz w:val="24"/>
          <w:szCs w:val="24"/>
          <w:lang w:val="en-US"/>
        </w:rPr>
        <w:t xml:space="preserve">: </w:t>
      </w:r>
      <w:r w:rsidRPr="00CF50A5">
        <w:rPr>
          <w:rFonts w:ascii="Times New Roman" w:hAnsi="Times New Roman" w:cs="Times New Roman"/>
          <w:sz w:val="24"/>
          <w:szCs w:val="24"/>
          <w:lang w:val="en-US"/>
        </w:rPr>
        <w:t>The Global Competitiveness Report 2018</w:t>
      </w:r>
      <w:r>
        <w:rPr>
          <w:rFonts w:ascii="Times New Roman" w:hAnsi="Times New Roman" w:cs="Times New Roman"/>
          <w:sz w:val="24"/>
          <w:szCs w:val="24"/>
          <w:lang w:val="en-US"/>
        </w:rPr>
        <w:t xml:space="preserve">, </w:t>
      </w:r>
      <w:r w:rsidRPr="00CF50A5">
        <w:rPr>
          <w:rFonts w:ascii="Times New Roman" w:hAnsi="Times New Roman" w:cs="Times New Roman"/>
          <w:sz w:val="24"/>
          <w:szCs w:val="24"/>
          <w:lang w:val="en-US"/>
        </w:rPr>
        <w:t>World Economic Forum</w:t>
      </w:r>
    </w:p>
    <w:p w:rsidR="00644A9D" w:rsidRPr="00C56180" w:rsidRDefault="00644A9D" w:rsidP="00644A9D">
      <w:pPr>
        <w:ind w:hanging="11"/>
        <w:jc w:val="both"/>
        <w:rPr>
          <w:rFonts w:ascii="Times New Roman" w:hAnsi="Times New Roman" w:cs="Times New Roman"/>
          <w:sz w:val="24"/>
          <w:szCs w:val="24"/>
        </w:rPr>
      </w:pPr>
      <w:r w:rsidRPr="00C56180">
        <w:rPr>
          <w:rFonts w:ascii="Times New Roman" w:hAnsi="Times New Roman" w:cs="Times New Roman"/>
          <w:sz w:val="24"/>
          <w:szCs w:val="24"/>
        </w:rPr>
        <w:t xml:space="preserve">Klerman M.D. and Garoupa M. N. (2002): “Optimal Law Enforcement with Rent- Seeking Government”, </w:t>
      </w:r>
      <w:r w:rsidRPr="00C56180">
        <w:rPr>
          <w:rFonts w:ascii="Times New Roman" w:hAnsi="Times New Roman" w:cs="Times New Roman"/>
          <w:i/>
          <w:iCs/>
          <w:sz w:val="24"/>
          <w:szCs w:val="24"/>
        </w:rPr>
        <w:t>American Law and Economics Review</w:t>
      </w:r>
      <w:r w:rsidRPr="00C56180">
        <w:rPr>
          <w:rFonts w:ascii="Times New Roman" w:hAnsi="Times New Roman" w:cs="Times New Roman"/>
          <w:sz w:val="24"/>
          <w:szCs w:val="24"/>
        </w:rPr>
        <w:t>, Vol. 4,</w:t>
      </w:r>
    </w:p>
    <w:p w:rsidR="00644A9D" w:rsidRPr="00344038" w:rsidRDefault="00644A9D" w:rsidP="00644A9D">
      <w:pPr>
        <w:jc w:val="both"/>
        <w:rPr>
          <w:rFonts w:ascii="Times New Roman" w:hAnsi="Times New Roman" w:cs="Times New Roman"/>
          <w:sz w:val="24"/>
          <w:szCs w:val="24"/>
        </w:rPr>
      </w:pPr>
      <w:r w:rsidRPr="00344038">
        <w:rPr>
          <w:rFonts w:ascii="Times New Roman" w:hAnsi="Times New Roman" w:cs="Times New Roman"/>
          <w:sz w:val="24"/>
          <w:szCs w:val="24"/>
        </w:rPr>
        <w:t xml:space="preserve">Martin M. (2008): “The Creation of a Global Competition Regime. Where Exactly Do the Obstacles Lie – Practical Co-operation or Ideological Differences?” </w:t>
      </w:r>
      <w:r w:rsidRPr="00344038">
        <w:rPr>
          <w:rFonts w:ascii="Times New Roman" w:hAnsi="Times New Roman" w:cs="Times New Roman"/>
          <w:i/>
          <w:iCs/>
          <w:sz w:val="24"/>
          <w:szCs w:val="24"/>
        </w:rPr>
        <w:t>Richmond Journal of Global Law&amp; Business</w:t>
      </w:r>
      <w:r w:rsidRPr="00344038">
        <w:rPr>
          <w:rFonts w:ascii="Times New Roman" w:hAnsi="Times New Roman" w:cs="Times New Roman"/>
          <w:sz w:val="24"/>
          <w:szCs w:val="24"/>
        </w:rPr>
        <w:t>, Vol.7, No.3, pp.297-314;</w:t>
      </w:r>
    </w:p>
    <w:p w:rsidR="00644A9D" w:rsidRPr="00047A7A" w:rsidRDefault="00644A9D" w:rsidP="00644A9D">
      <w:pPr>
        <w:ind w:left="720" w:hanging="720"/>
        <w:jc w:val="both"/>
        <w:rPr>
          <w:rFonts w:ascii="Times New Roman" w:hAnsi="Times New Roman" w:cs="Times New Roman"/>
          <w:sz w:val="24"/>
          <w:szCs w:val="24"/>
        </w:rPr>
      </w:pPr>
      <w:r w:rsidRPr="00047A7A">
        <w:rPr>
          <w:rFonts w:ascii="Times New Roman" w:hAnsi="Times New Roman" w:cs="Times New Roman"/>
          <w:sz w:val="24"/>
          <w:szCs w:val="24"/>
        </w:rPr>
        <w:t xml:space="preserve">Motta M. (2004): </w:t>
      </w:r>
      <w:r w:rsidRPr="00047A7A">
        <w:rPr>
          <w:rFonts w:ascii="Times New Roman" w:hAnsi="Times New Roman" w:cs="Times New Roman"/>
          <w:i/>
          <w:iCs/>
          <w:sz w:val="24"/>
          <w:szCs w:val="24"/>
        </w:rPr>
        <w:t>Competition policy: Theory and Practice</w:t>
      </w:r>
      <w:r w:rsidRPr="00047A7A">
        <w:rPr>
          <w:rFonts w:ascii="Times New Roman" w:hAnsi="Times New Roman" w:cs="Times New Roman"/>
          <w:sz w:val="24"/>
          <w:szCs w:val="24"/>
        </w:rPr>
        <w:t>, Cambridge University Press</w:t>
      </w:r>
    </w:p>
    <w:p w:rsidR="00644A9D" w:rsidRPr="00344038" w:rsidRDefault="00644A9D" w:rsidP="00644A9D">
      <w:pPr>
        <w:ind w:hanging="11"/>
        <w:jc w:val="both"/>
        <w:rPr>
          <w:rFonts w:ascii="Times New Roman" w:hAnsi="Times New Roman" w:cs="Times New Roman"/>
          <w:i/>
          <w:iCs/>
          <w:sz w:val="24"/>
          <w:szCs w:val="24"/>
        </w:rPr>
      </w:pPr>
      <w:r w:rsidRPr="004C4434">
        <w:rPr>
          <w:rFonts w:ascii="Times New Roman" w:hAnsi="Times New Roman" w:cs="Times New Roman"/>
          <w:sz w:val="24"/>
          <w:szCs w:val="24"/>
        </w:rPr>
        <w:t xml:space="preserve">Neven D. (2006): “Competition Economics and Antitrust in Europe”, </w:t>
      </w:r>
      <w:r w:rsidRPr="004C4434">
        <w:rPr>
          <w:rFonts w:ascii="Times New Roman" w:hAnsi="Times New Roman" w:cs="Times New Roman"/>
          <w:i/>
          <w:iCs/>
          <w:sz w:val="24"/>
          <w:szCs w:val="24"/>
        </w:rPr>
        <w:t xml:space="preserve">Economic Policy, </w:t>
      </w:r>
      <w:r w:rsidRPr="00344038">
        <w:rPr>
          <w:rFonts w:ascii="Times New Roman" w:hAnsi="Times New Roman" w:cs="Times New Roman"/>
          <w:i/>
          <w:iCs/>
          <w:sz w:val="24"/>
          <w:szCs w:val="24"/>
        </w:rPr>
        <w:t>CEPR, pp.741-791</w:t>
      </w:r>
    </w:p>
    <w:p w:rsidR="00644A9D" w:rsidRPr="00E31A70" w:rsidRDefault="00644A9D" w:rsidP="00644A9D">
      <w:pPr>
        <w:spacing w:after="120"/>
        <w:jc w:val="both"/>
        <w:rPr>
          <w:rFonts w:ascii="Times New Roman" w:hAnsi="Times New Roman" w:cs="Times New Roman"/>
          <w:sz w:val="24"/>
          <w:szCs w:val="24"/>
        </w:rPr>
      </w:pPr>
      <w:r w:rsidRPr="00E31A70">
        <w:rPr>
          <w:rFonts w:ascii="Times New Roman" w:hAnsi="Times New Roman" w:cs="Times New Roman"/>
          <w:sz w:val="24"/>
          <w:szCs w:val="24"/>
        </w:rPr>
        <w:t>OECD (2014): Guide for helping competition authorities assess the expected impact of their activities</w:t>
      </w:r>
    </w:p>
    <w:p w:rsidR="00644A9D" w:rsidRPr="006C2FC2" w:rsidRDefault="00644A9D" w:rsidP="00644A9D">
      <w:pPr>
        <w:jc w:val="both"/>
        <w:rPr>
          <w:rFonts w:ascii="Times New Roman" w:hAnsi="Times New Roman" w:cs="Times New Roman"/>
          <w:sz w:val="24"/>
          <w:szCs w:val="24"/>
          <w:lang w:val="en-US"/>
        </w:rPr>
      </w:pPr>
      <w:r w:rsidRPr="006C2FC2">
        <w:rPr>
          <w:rFonts w:ascii="Times New Roman" w:hAnsi="Times New Roman" w:cs="Times New Roman"/>
          <w:sz w:val="24"/>
          <w:szCs w:val="24"/>
          <w:lang w:val="en-US"/>
        </w:rPr>
        <w:t xml:space="preserve">OECD (2016): </w:t>
      </w:r>
      <w:r w:rsidRPr="006C2FC2">
        <w:rPr>
          <w:rFonts w:ascii="Times New Roman" w:hAnsi="Times New Roman" w:cs="Times New Roman"/>
          <w:i/>
          <w:sz w:val="24"/>
          <w:szCs w:val="24"/>
          <w:lang w:val="en-US"/>
        </w:rPr>
        <w:t>Independence of Competition Authorities – From design to practices</w:t>
      </w:r>
      <w:r w:rsidRPr="006C2FC2">
        <w:rPr>
          <w:rFonts w:ascii="Times New Roman" w:hAnsi="Times New Roman" w:cs="Times New Roman"/>
          <w:sz w:val="24"/>
          <w:szCs w:val="24"/>
          <w:lang w:val="en-US"/>
        </w:rPr>
        <w:t xml:space="preserve">, Background paper by the Secretariat </w:t>
      </w:r>
    </w:p>
    <w:p w:rsidR="00644A9D" w:rsidRDefault="00644A9D" w:rsidP="00644A9D">
      <w:pPr>
        <w:spacing w:after="0"/>
        <w:jc w:val="both"/>
        <w:rPr>
          <w:rFonts w:ascii="Times New Roman" w:hAnsi="Times New Roman" w:cs="Times New Roman"/>
          <w:sz w:val="24"/>
          <w:szCs w:val="24"/>
        </w:rPr>
      </w:pPr>
      <w:r w:rsidRPr="00E31A70">
        <w:rPr>
          <w:rFonts w:ascii="Times New Roman" w:hAnsi="Times New Roman" w:cs="Times New Roman"/>
          <w:sz w:val="24"/>
          <w:szCs w:val="24"/>
        </w:rPr>
        <w:lastRenderedPageBreak/>
        <w:t>OECD (2016): Reference guide on ex-post evaluation of competition agencies’ enforcement decisions, Competition Division, April</w:t>
      </w:r>
    </w:p>
    <w:p w:rsidR="00644A9D" w:rsidRPr="006C2FC2" w:rsidRDefault="00644A9D" w:rsidP="00644A9D">
      <w:pPr>
        <w:jc w:val="both"/>
        <w:rPr>
          <w:rFonts w:ascii="Times New Roman" w:hAnsi="Times New Roman" w:cs="Times New Roman"/>
          <w:sz w:val="24"/>
          <w:szCs w:val="24"/>
          <w:lang w:val="en-US"/>
        </w:rPr>
      </w:pPr>
      <w:r w:rsidRPr="006C2FC2">
        <w:rPr>
          <w:rFonts w:ascii="Times New Roman" w:hAnsi="Times New Roman" w:cs="Times New Roman"/>
          <w:sz w:val="24"/>
          <w:szCs w:val="24"/>
          <w:lang w:val="en-US"/>
        </w:rPr>
        <w:t>OECD (2018): OECD Regulatory Policy Outlook</w:t>
      </w:r>
    </w:p>
    <w:p w:rsidR="00644A9D" w:rsidRPr="00B00DB7" w:rsidRDefault="00644A9D" w:rsidP="00644A9D">
      <w:pPr>
        <w:jc w:val="both"/>
        <w:rPr>
          <w:rFonts w:ascii="Times New Roman" w:hAnsi="Times New Roman" w:cs="Times New Roman"/>
          <w:sz w:val="24"/>
          <w:szCs w:val="24"/>
        </w:rPr>
      </w:pPr>
      <w:r w:rsidRPr="00344038">
        <w:rPr>
          <w:rFonts w:ascii="Times New Roman" w:hAnsi="Times New Roman" w:cs="Times New Roman"/>
          <w:sz w:val="24"/>
          <w:szCs w:val="24"/>
        </w:rPr>
        <w:t xml:space="preserve">Papadopoulos S. A. (2010): </w:t>
      </w:r>
      <w:r w:rsidRPr="00344038">
        <w:rPr>
          <w:rFonts w:ascii="Times New Roman" w:hAnsi="Times New Roman" w:cs="Times New Roman"/>
          <w:i/>
          <w:iCs/>
          <w:sz w:val="24"/>
          <w:szCs w:val="24"/>
        </w:rPr>
        <w:t>The International Dimension of EU Competition</w:t>
      </w:r>
      <w:r w:rsidRPr="00B00DB7">
        <w:rPr>
          <w:rFonts w:ascii="Times New Roman" w:hAnsi="Times New Roman" w:cs="Times New Roman"/>
          <w:i/>
          <w:iCs/>
          <w:sz w:val="24"/>
          <w:szCs w:val="24"/>
        </w:rPr>
        <w:t xml:space="preserve"> Law and Policy</w:t>
      </w:r>
      <w:r w:rsidRPr="00B00DB7">
        <w:rPr>
          <w:rFonts w:ascii="Times New Roman" w:hAnsi="Times New Roman" w:cs="Times New Roman"/>
          <w:sz w:val="24"/>
          <w:szCs w:val="24"/>
        </w:rPr>
        <w:t>, Cambridge University press;</w:t>
      </w:r>
    </w:p>
    <w:p w:rsidR="00644A9D" w:rsidRPr="00B00DB7" w:rsidRDefault="00644A9D" w:rsidP="00644A9D">
      <w:pPr>
        <w:jc w:val="both"/>
        <w:rPr>
          <w:rFonts w:ascii="Times New Roman" w:hAnsi="Times New Roman" w:cs="Times New Roman"/>
          <w:sz w:val="24"/>
          <w:szCs w:val="24"/>
        </w:rPr>
      </w:pPr>
      <w:r w:rsidRPr="00B00DB7">
        <w:rPr>
          <w:rFonts w:ascii="Times New Roman" w:hAnsi="Times New Roman" w:cs="Times New Roman"/>
          <w:sz w:val="24"/>
          <w:szCs w:val="24"/>
        </w:rPr>
        <w:t xml:space="preserve">Postema B., Goppelsroeder M., and Peter van Bergeijk (2006): “Cost and Benefits of Merger Control: An Applied Game Theoretic perspective“, </w:t>
      </w:r>
      <w:r w:rsidRPr="00B00DB7">
        <w:rPr>
          <w:rFonts w:ascii="Times New Roman" w:hAnsi="Times New Roman" w:cs="Times New Roman"/>
          <w:i/>
          <w:iCs/>
          <w:sz w:val="24"/>
          <w:szCs w:val="24"/>
        </w:rPr>
        <w:t>KYKLOS</w:t>
      </w:r>
      <w:r w:rsidRPr="00B00DB7">
        <w:rPr>
          <w:rFonts w:ascii="Times New Roman" w:hAnsi="Times New Roman" w:cs="Times New Roman"/>
          <w:sz w:val="24"/>
          <w:szCs w:val="24"/>
        </w:rPr>
        <w:t xml:space="preserve">, Vol.59, No.1, pp. 85-98; </w:t>
      </w:r>
    </w:p>
    <w:p w:rsidR="00644A9D" w:rsidRPr="004C4434" w:rsidRDefault="00644A9D" w:rsidP="00644A9D">
      <w:pPr>
        <w:jc w:val="both"/>
        <w:rPr>
          <w:rFonts w:ascii="Times New Roman" w:hAnsi="Times New Roman" w:cs="Times New Roman"/>
          <w:sz w:val="24"/>
          <w:szCs w:val="24"/>
        </w:rPr>
      </w:pPr>
      <w:r w:rsidRPr="004C4434">
        <w:rPr>
          <w:rFonts w:ascii="Times New Roman" w:hAnsi="Times New Roman" w:cs="Times New Roman"/>
          <w:sz w:val="24"/>
          <w:szCs w:val="24"/>
        </w:rPr>
        <w:t xml:space="preserve">Purcell D. and Fox M. (2009): “Competition Policy in Good Times and Bad”, </w:t>
      </w:r>
      <w:r w:rsidRPr="004C4434">
        <w:rPr>
          <w:rFonts w:ascii="Times New Roman" w:hAnsi="Times New Roman" w:cs="Times New Roman"/>
          <w:i/>
          <w:iCs/>
          <w:sz w:val="24"/>
          <w:szCs w:val="24"/>
        </w:rPr>
        <w:t>DEW Kenmare Conference</w:t>
      </w:r>
      <w:r w:rsidRPr="004C4434">
        <w:rPr>
          <w:rFonts w:ascii="Times New Roman" w:hAnsi="Times New Roman" w:cs="Times New Roman"/>
          <w:sz w:val="24"/>
          <w:szCs w:val="24"/>
        </w:rPr>
        <w:t>, October;</w:t>
      </w:r>
    </w:p>
    <w:p w:rsidR="00644A9D" w:rsidRPr="00CF50A5" w:rsidRDefault="00644A9D" w:rsidP="00644A9D">
      <w:pPr>
        <w:jc w:val="both"/>
        <w:rPr>
          <w:rFonts w:ascii="Times New Roman" w:hAnsi="Times New Roman" w:cs="Times New Roman"/>
          <w:sz w:val="24"/>
          <w:szCs w:val="24"/>
          <w:lang w:val="en-US"/>
        </w:rPr>
      </w:pPr>
      <w:r w:rsidRPr="00CF50A5">
        <w:rPr>
          <w:rFonts w:ascii="Times New Roman" w:hAnsi="Times New Roman" w:cs="Times New Roman"/>
          <w:sz w:val="24"/>
          <w:szCs w:val="24"/>
          <w:lang w:val="en-US"/>
        </w:rPr>
        <w:t>Sanfey P. and Milatovic J. (2018): The Western Balkan in transition: diagnosing the constraints on the path to a sustainable market economy, published by EBRD</w:t>
      </w:r>
    </w:p>
    <w:p w:rsidR="00644A9D" w:rsidRPr="008A64F7" w:rsidRDefault="00644A9D" w:rsidP="00644A9D">
      <w:pPr>
        <w:spacing w:after="120"/>
        <w:rPr>
          <w:rFonts w:ascii="Times New Roman" w:hAnsi="Times New Roman" w:cs="Times New Roman"/>
          <w:sz w:val="24"/>
          <w:szCs w:val="24"/>
        </w:rPr>
      </w:pPr>
      <w:r w:rsidRPr="008A64F7">
        <w:rPr>
          <w:rFonts w:ascii="Times New Roman" w:hAnsi="Times New Roman" w:cs="Times New Roman"/>
          <w:sz w:val="24"/>
          <w:szCs w:val="24"/>
        </w:rPr>
        <w:t xml:space="preserve">World Bank (2017): </w:t>
      </w:r>
      <w:r w:rsidRPr="008A64F7">
        <w:rPr>
          <w:rFonts w:ascii="Times New Roman" w:hAnsi="Times New Roman" w:cs="Times New Roman"/>
          <w:i/>
          <w:sz w:val="24"/>
          <w:szCs w:val="24"/>
        </w:rPr>
        <w:t>Fostering Economic Integration through Effective Competition Policies</w:t>
      </w:r>
      <w:r w:rsidRPr="008A64F7">
        <w:rPr>
          <w:rFonts w:ascii="Times New Roman" w:hAnsi="Times New Roman" w:cs="Times New Roman"/>
          <w:sz w:val="24"/>
          <w:szCs w:val="24"/>
        </w:rPr>
        <w:t>, Western Balkans: Regional Econom</w:t>
      </w:r>
      <w:r w:rsidRPr="008A64F7">
        <w:rPr>
          <w:rFonts w:ascii="Times New Roman" w:hAnsi="Times New Roman" w:cs="Times New Roman"/>
          <w:sz w:val="24"/>
          <w:szCs w:val="24"/>
          <w:lang w:val="en-US"/>
        </w:rPr>
        <w:t>ic</w:t>
      </w:r>
      <w:r w:rsidRPr="008A64F7">
        <w:rPr>
          <w:rFonts w:ascii="Times New Roman" w:hAnsi="Times New Roman" w:cs="Times New Roman"/>
          <w:sz w:val="24"/>
          <w:szCs w:val="24"/>
        </w:rPr>
        <w:t xml:space="preserve"> Integration Issues Note No.4</w:t>
      </w:r>
    </w:p>
    <w:p w:rsidR="00644A9D" w:rsidRDefault="00644A9D" w:rsidP="00644A9D">
      <w:pPr>
        <w:jc w:val="both"/>
        <w:rPr>
          <w:rFonts w:ascii="Times New Roman" w:hAnsi="Times New Roman" w:cs="Times New Roman"/>
          <w:sz w:val="24"/>
          <w:szCs w:val="24"/>
        </w:rPr>
      </w:pPr>
      <w:r>
        <w:rPr>
          <w:rFonts w:ascii="Times New Roman" w:hAnsi="Times New Roman" w:cs="Times New Roman"/>
          <w:sz w:val="24"/>
          <w:szCs w:val="24"/>
        </w:rPr>
        <w:t>Мамучевска Д. (2013): Модели на регулација на монополското однесување на пазарот, Докторска дисертација, УКИМ - Економски факултет – Скопје</w:t>
      </w:r>
    </w:p>
    <w:p w:rsidR="00644A9D" w:rsidRDefault="00644A9D" w:rsidP="00644A9D">
      <w:pPr>
        <w:jc w:val="both"/>
        <w:rPr>
          <w:rFonts w:ascii="Times New Roman" w:hAnsi="Times New Roman" w:cs="Times New Roman"/>
          <w:sz w:val="24"/>
          <w:szCs w:val="24"/>
        </w:rPr>
      </w:pPr>
      <w:r>
        <w:rPr>
          <w:rFonts w:ascii="Times New Roman" w:hAnsi="Times New Roman" w:cs="Times New Roman"/>
          <w:sz w:val="24"/>
          <w:szCs w:val="24"/>
        </w:rPr>
        <w:t xml:space="preserve">Мамучевска Д. и Василева В (2019):, </w:t>
      </w:r>
      <w:r w:rsidRPr="005316F6">
        <w:rPr>
          <w:rFonts w:ascii="Times New Roman" w:hAnsi="Times New Roman" w:cs="Times New Roman"/>
          <w:i/>
          <w:sz w:val="24"/>
          <w:szCs w:val="24"/>
        </w:rPr>
        <w:t>Анализа на поставеноста, перформансите и предизвиците во работењето на АЕК</w:t>
      </w:r>
      <w:r>
        <w:rPr>
          <w:rFonts w:ascii="Times New Roman" w:hAnsi="Times New Roman" w:cs="Times New Roman"/>
          <w:sz w:val="24"/>
          <w:szCs w:val="24"/>
        </w:rPr>
        <w:t xml:space="preserve">, - студија работена во периодот април 2019 –јули 2019, во рамките на проектот Мониторинг за ефикасноста, ефективноста, транспарентноста и одговорноста на регулаторните тела АВМУ и АЕК,  ЕвроТинк, </w:t>
      </w:r>
    </w:p>
    <w:p w:rsidR="00644A9D" w:rsidRPr="00DE3B62" w:rsidRDefault="00644A9D" w:rsidP="00644A9D">
      <w:pPr>
        <w:jc w:val="both"/>
        <w:rPr>
          <w:rFonts w:ascii="Times New Roman" w:hAnsi="Times New Roman" w:cs="Times New Roman"/>
          <w:sz w:val="24"/>
          <w:szCs w:val="24"/>
        </w:rPr>
      </w:pPr>
      <w:r>
        <w:rPr>
          <w:rFonts w:ascii="Times New Roman" w:hAnsi="Times New Roman" w:cs="Times New Roman"/>
          <w:sz w:val="24"/>
          <w:szCs w:val="24"/>
        </w:rPr>
        <w:t xml:space="preserve">Михајлова В. (2014): Анализа на независните комисии и регулатрони тела – законска поставеност и практично функционирање, проект финансиран од </w:t>
      </w:r>
      <w:r>
        <w:rPr>
          <w:rFonts w:ascii="Times New Roman" w:hAnsi="Times New Roman" w:cs="Times New Roman"/>
          <w:sz w:val="24"/>
          <w:szCs w:val="24"/>
          <w:lang w:val="en-US"/>
        </w:rPr>
        <w:t>USAID</w:t>
      </w:r>
      <w:r>
        <w:rPr>
          <w:rFonts w:ascii="Times New Roman" w:hAnsi="Times New Roman" w:cs="Times New Roman"/>
          <w:sz w:val="24"/>
          <w:szCs w:val="24"/>
        </w:rPr>
        <w:t xml:space="preserve"> и</w:t>
      </w:r>
      <w:r>
        <w:rPr>
          <w:rFonts w:ascii="Times New Roman" w:hAnsi="Times New Roman" w:cs="Times New Roman"/>
          <w:sz w:val="24"/>
          <w:szCs w:val="24"/>
          <w:lang w:val="en-US"/>
        </w:rPr>
        <w:t xml:space="preserve"> FOOM</w:t>
      </w:r>
      <w:r>
        <w:rPr>
          <w:rFonts w:ascii="Times New Roman" w:hAnsi="Times New Roman" w:cs="Times New Roman"/>
          <w:sz w:val="24"/>
          <w:szCs w:val="24"/>
        </w:rPr>
        <w:t>, издавач Институт за човекови права</w:t>
      </w:r>
    </w:p>
    <w:p w:rsidR="00E31A70" w:rsidRPr="00EA1D28" w:rsidRDefault="00E31A70" w:rsidP="006F0920">
      <w:pPr>
        <w:spacing w:line="360" w:lineRule="auto"/>
        <w:jc w:val="both"/>
        <w:rPr>
          <w:rFonts w:ascii="Times New Roman" w:hAnsi="Times New Roman" w:cs="Times New Roman"/>
          <w:sz w:val="24"/>
          <w:szCs w:val="24"/>
        </w:rPr>
      </w:pPr>
    </w:p>
    <w:sectPr w:rsidR="00E31A70" w:rsidRPr="00EA1D28" w:rsidSect="00D556B1">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333" w:rsidRDefault="00FB1333" w:rsidP="0037039B">
      <w:pPr>
        <w:spacing w:after="0" w:line="240" w:lineRule="auto"/>
      </w:pPr>
      <w:r>
        <w:separator/>
      </w:r>
    </w:p>
  </w:endnote>
  <w:endnote w:type="continuationSeparator" w:id="0">
    <w:p w:rsidR="00FB1333" w:rsidRDefault="00FB1333" w:rsidP="0037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1432"/>
      <w:docPartObj>
        <w:docPartGallery w:val="Page Numbers (Bottom of Page)"/>
        <w:docPartUnique/>
      </w:docPartObj>
    </w:sdtPr>
    <w:sdtEndPr/>
    <w:sdtContent>
      <w:p w:rsidR="00EC6A90" w:rsidRDefault="00FB1333">
        <w:pPr>
          <w:pStyle w:val="Footer"/>
          <w:jc w:val="right"/>
        </w:pPr>
        <w:r>
          <w:fldChar w:fldCharType="begin"/>
        </w:r>
        <w:r>
          <w:instrText xml:space="preserve"> PAGE   \* MERGEFORMAT </w:instrText>
        </w:r>
        <w:r>
          <w:fldChar w:fldCharType="separate"/>
        </w:r>
        <w:r w:rsidR="009F3B03">
          <w:rPr>
            <w:noProof/>
          </w:rPr>
          <w:t>1</w:t>
        </w:r>
        <w:r>
          <w:rPr>
            <w:noProof/>
          </w:rPr>
          <w:fldChar w:fldCharType="end"/>
        </w:r>
      </w:p>
    </w:sdtContent>
  </w:sdt>
  <w:p w:rsidR="00EC6A90" w:rsidRDefault="00EC6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333" w:rsidRDefault="00FB1333" w:rsidP="0037039B">
      <w:pPr>
        <w:spacing w:after="0" w:line="240" w:lineRule="auto"/>
      </w:pPr>
      <w:r>
        <w:separator/>
      </w:r>
    </w:p>
  </w:footnote>
  <w:footnote w:type="continuationSeparator" w:id="0">
    <w:p w:rsidR="00FB1333" w:rsidRDefault="00FB1333" w:rsidP="0037039B">
      <w:pPr>
        <w:spacing w:after="0" w:line="240" w:lineRule="auto"/>
      </w:pPr>
      <w:r>
        <w:continuationSeparator/>
      </w:r>
    </w:p>
  </w:footnote>
  <w:footnote w:id="1">
    <w:p w:rsidR="00CF50A5" w:rsidRPr="00CF50A5" w:rsidRDefault="00CF50A5" w:rsidP="00CF50A5">
      <w:pPr>
        <w:pStyle w:val="FootnoteText"/>
        <w:jc w:val="both"/>
        <w:rPr>
          <w:rFonts w:ascii="Times New Roman" w:hAnsi="Times New Roman" w:cs="Times New Roman"/>
        </w:rPr>
      </w:pPr>
      <w:r>
        <w:rPr>
          <w:rStyle w:val="FootnoteReference"/>
        </w:rPr>
        <w:footnoteRef/>
      </w:r>
      <w:r>
        <w:t xml:space="preserve"> </w:t>
      </w:r>
      <w:r w:rsidRPr="00CF50A5">
        <w:rPr>
          <w:rFonts w:ascii="Times New Roman" w:hAnsi="Times New Roman" w:cs="Times New Roman"/>
        </w:rPr>
        <w:t>Организацијата за заштита на потрошувачи</w:t>
      </w:r>
      <w:r>
        <w:rPr>
          <w:rFonts w:ascii="Times New Roman" w:hAnsi="Times New Roman" w:cs="Times New Roman"/>
        </w:rPr>
        <w:t xml:space="preserve"> е организација од невладиниот сектор, без поголеми надлежности во заштитата на правата на потрошувачите. Постојат уште неколку други институции како што се Агенција за храна и ветеринарство, Државен пазарен инспекторат, кои се задолжени само во еден дел да ги штитат интересите на потрошувачите. За жал, сеуште не постои независно регуларно тело кое ќе го концетрира притисокот на потрошувачите во барањата за подобри пазарни услови и поголема конкуренција. </w:t>
      </w:r>
    </w:p>
  </w:footnote>
  <w:footnote w:id="2">
    <w:p w:rsidR="0014344B" w:rsidRPr="0014344B" w:rsidRDefault="0014344B" w:rsidP="0014344B">
      <w:pPr>
        <w:pStyle w:val="CommentText"/>
        <w:jc w:val="both"/>
        <w:rPr>
          <w:rFonts w:ascii="Times New Roman" w:hAnsi="Times New Roman" w:cs="Times New Roman"/>
        </w:rPr>
      </w:pPr>
      <w:r>
        <w:rPr>
          <w:rStyle w:val="FootnoteReference"/>
        </w:rPr>
        <w:footnoteRef/>
      </w:r>
      <w:r>
        <w:t xml:space="preserve"> </w:t>
      </w:r>
      <w:r w:rsidRPr="0014344B">
        <w:rPr>
          <w:rFonts w:ascii="Times New Roman" w:hAnsi="Times New Roman" w:cs="Times New Roman"/>
        </w:rPr>
        <w:t>Тоа пак повлекува, согласно Законот за административните службеници, постапка на одобрување на низа документи, во случајот од МИОА, како што се изработка на План за вработување и унапредување, Правилник за систематизација на работните места итн. со што се нарушува независноста.</w:t>
      </w:r>
    </w:p>
    <w:p w:rsidR="0014344B" w:rsidRDefault="0014344B">
      <w:pPr>
        <w:pStyle w:val="FootnoteText"/>
      </w:pPr>
    </w:p>
  </w:footnote>
  <w:footnote w:id="3">
    <w:p w:rsidR="00F76663" w:rsidRPr="00F76663" w:rsidRDefault="00F76663">
      <w:pPr>
        <w:pStyle w:val="FootnoteText"/>
      </w:pPr>
      <w:r>
        <w:rPr>
          <w:rStyle w:val="FootnoteReference"/>
        </w:rPr>
        <w:footnoteRef/>
      </w:r>
      <w:r>
        <w:t xml:space="preserve"> </w:t>
      </w:r>
      <w:r w:rsidRPr="00F76663">
        <w:rPr>
          <w:rFonts w:ascii="Times New Roman" w:hAnsi="Times New Roman" w:cs="Times New Roman"/>
        </w:rPr>
        <w:t>Дополнителната анализа треба да даде одговор за причините за ваквата состојба.</w:t>
      </w:r>
      <w:r>
        <w:rPr>
          <w:rFonts w:ascii="Times New Roman" w:hAnsi="Times New Roman" w:cs="Times New Roman"/>
        </w:rPr>
        <w:t xml:space="preserve"> Во таа насока да се провери структурата на надоместоците, дали висината на истите е соодветна и сл.</w:t>
      </w:r>
    </w:p>
  </w:footnote>
  <w:footnote w:id="4">
    <w:p w:rsidR="00843396" w:rsidRPr="00843396" w:rsidRDefault="00843396" w:rsidP="00843396">
      <w:pPr>
        <w:pStyle w:val="FootnoteText"/>
        <w:jc w:val="both"/>
        <w:rPr>
          <w:rFonts w:ascii="Times New Roman" w:hAnsi="Times New Roman" w:cs="Times New Roman"/>
        </w:rPr>
      </w:pPr>
      <w:r>
        <w:rPr>
          <w:rStyle w:val="FootnoteReference"/>
        </w:rPr>
        <w:footnoteRef/>
      </w:r>
      <w:r>
        <w:t xml:space="preserve"> </w:t>
      </w:r>
      <w:r w:rsidRPr="00843396">
        <w:rPr>
          <w:rFonts w:ascii="Times New Roman" w:hAnsi="Times New Roman" w:cs="Times New Roman"/>
        </w:rPr>
        <w:t xml:space="preserve">Германскиот </w:t>
      </w:r>
      <w:r>
        <w:rPr>
          <w:rFonts w:ascii="Times New Roman" w:hAnsi="Times New Roman" w:cs="Times New Roman"/>
        </w:rPr>
        <w:t xml:space="preserve">портал </w:t>
      </w:r>
      <w:r>
        <w:rPr>
          <w:rFonts w:ascii="Times New Roman" w:hAnsi="Times New Roman" w:cs="Times New Roman"/>
          <w:lang w:val="en-US"/>
        </w:rPr>
        <w:t xml:space="preserve">www.connect.de, </w:t>
      </w:r>
      <w:r>
        <w:rPr>
          <w:rFonts w:ascii="Times New Roman" w:hAnsi="Times New Roman" w:cs="Times New Roman"/>
        </w:rPr>
        <w:t xml:space="preserve">кој го мери калвитетот на услуги кои се обезбедуваат од јавни електронски комуникациски мрежи, ја рангира Македонија на второ место во Европа со 913 поени, веднаш зад Холандија со 914 поени </w:t>
      </w:r>
      <w:r w:rsidR="0014344B">
        <w:rPr>
          <w:rFonts w:ascii="Times New Roman" w:hAnsi="Times New Roman" w:cs="Times New Roman"/>
        </w:rPr>
        <w:t>по однос на квалитет на електронски комуникациски услуги кои се обезбедуваат од</w:t>
      </w:r>
      <w:r>
        <w:rPr>
          <w:rFonts w:ascii="Times New Roman" w:hAnsi="Times New Roman" w:cs="Times New Roman"/>
        </w:rPr>
        <w:t xml:space="preserve"> безжични мрежи. (објавено на </w:t>
      </w:r>
      <w:r>
        <w:rPr>
          <w:rFonts w:ascii="Times New Roman" w:hAnsi="Times New Roman" w:cs="Times New Roman"/>
          <w:lang w:val="en-US"/>
        </w:rPr>
        <w:t>www.aek.mk/en/</w:t>
      </w:r>
      <w:r>
        <w:rPr>
          <w:rFonts w:ascii="Times New Roman" w:hAnsi="Times New Roman" w:cs="Times New Roman"/>
        </w:rPr>
        <w:t>соопштение)</w:t>
      </w:r>
    </w:p>
  </w:footnote>
  <w:footnote w:id="5">
    <w:p w:rsidR="00E31A70" w:rsidRPr="00953A49" w:rsidRDefault="00E31A70" w:rsidP="00E31A70">
      <w:pPr>
        <w:pStyle w:val="FootnoteText"/>
        <w:jc w:val="both"/>
      </w:pPr>
      <w:r>
        <w:rPr>
          <w:rStyle w:val="FootnoteReference"/>
        </w:rPr>
        <w:footnoteRef/>
      </w:r>
      <w:r w:rsidRPr="00E9773B">
        <w:rPr>
          <w:rFonts w:ascii="Times New Roman" w:hAnsi="Times New Roman" w:cs="Times New Roman"/>
        </w:rPr>
        <w:t>Во 1993 година</w:t>
      </w:r>
      <w:r w:rsidR="00FB7D68">
        <w:rPr>
          <w:rFonts w:ascii="Times New Roman" w:hAnsi="Times New Roman" w:cs="Times New Roman"/>
        </w:rPr>
        <w:t xml:space="preserve"> </w:t>
      </w:r>
      <w:r w:rsidRPr="00E9773B">
        <w:rPr>
          <w:rFonts w:ascii="Times New Roman" w:hAnsi="Times New Roman" w:cs="Times New Roman"/>
        </w:rPr>
        <w:t>Владатана САД го</w:t>
      </w:r>
      <w:r w:rsidR="00FB7D68">
        <w:rPr>
          <w:rFonts w:ascii="Times New Roman" w:hAnsi="Times New Roman" w:cs="Times New Roman"/>
        </w:rPr>
        <w:t xml:space="preserve"> </w:t>
      </w:r>
      <w:r w:rsidRPr="00E9773B">
        <w:rPr>
          <w:rFonts w:ascii="Times New Roman" w:hAnsi="Times New Roman" w:cs="Times New Roman"/>
        </w:rPr>
        <w:t>донесе</w:t>
      </w:r>
      <w:r w:rsidR="00FB7D68">
        <w:rPr>
          <w:rFonts w:ascii="Times New Roman" w:hAnsi="Times New Roman" w:cs="Times New Roman"/>
        </w:rPr>
        <w:t xml:space="preserve"> </w:t>
      </w:r>
      <w:r w:rsidRPr="00E9773B">
        <w:rPr>
          <w:rFonts w:ascii="Times New Roman" w:hAnsi="Times New Roman" w:cs="Times New Roman"/>
        </w:rPr>
        <w:t>Законот</w:t>
      </w:r>
      <w:r w:rsidR="00FB7D68">
        <w:rPr>
          <w:rFonts w:ascii="Times New Roman" w:hAnsi="Times New Roman" w:cs="Times New Roman"/>
        </w:rPr>
        <w:t xml:space="preserve"> </w:t>
      </w:r>
      <w:r w:rsidRPr="00E9773B">
        <w:rPr>
          <w:rFonts w:ascii="Times New Roman" w:hAnsi="Times New Roman" w:cs="Times New Roman"/>
        </w:rPr>
        <w:t>за</w:t>
      </w:r>
      <w:r w:rsidR="00FB7D68">
        <w:rPr>
          <w:rFonts w:ascii="Times New Roman" w:hAnsi="Times New Roman" w:cs="Times New Roman"/>
        </w:rPr>
        <w:t xml:space="preserve"> </w:t>
      </w:r>
      <w:r w:rsidRPr="00E9773B">
        <w:rPr>
          <w:rFonts w:ascii="Times New Roman" w:hAnsi="Times New Roman" w:cs="Times New Roman"/>
        </w:rPr>
        <w:t>перформанси и резултати</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Владата (The Government and Performance and Results Act) чија</w:t>
      </w:r>
      <w:r w:rsidR="00FB7D68">
        <w:rPr>
          <w:rFonts w:ascii="Times New Roman" w:hAnsi="Times New Roman" w:cs="Times New Roman"/>
        </w:rPr>
        <w:t xml:space="preserve"> </w:t>
      </w:r>
      <w:r w:rsidRPr="00E9773B">
        <w:rPr>
          <w:rFonts w:ascii="Times New Roman" w:hAnsi="Times New Roman" w:cs="Times New Roman"/>
        </w:rPr>
        <w:t>цел е следење и подобрување</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перформансите</w:t>
      </w:r>
      <w:r w:rsidR="00FB7D68">
        <w:rPr>
          <w:rFonts w:ascii="Times New Roman" w:hAnsi="Times New Roman" w:cs="Times New Roman"/>
        </w:rPr>
        <w:t xml:space="preserve"> </w:t>
      </w:r>
      <w:r w:rsidRPr="00E9773B">
        <w:rPr>
          <w:rFonts w:ascii="Times New Roman" w:hAnsi="Times New Roman" w:cs="Times New Roman"/>
        </w:rPr>
        <w:t>во</w:t>
      </w:r>
      <w:r w:rsidR="00FB7D68">
        <w:rPr>
          <w:rFonts w:ascii="Times New Roman" w:hAnsi="Times New Roman" w:cs="Times New Roman"/>
        </w:rPr>
        <w:t xml:space="preserve"> </w:t>
      </w:r>
      <w:r w:rsidRPr="00E9773B">
        <w:rPr>
          <w:rFonts w:ascii="Times New Roman" w:hAnsi="Times New Roman" w:cs="Times New Roman"/>
        </w:rPr>
        <w:t>работењето</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државните</w:t>
      </w:r>
      <w:r w:rsidR="00FB7D68">
        <w:rPr>
          <w:rFonts w:ascii="Times New Roman" w:hAnsi="Times New Roman" w:cs="Times New Roman"/>
        </w:rPr>
        <w:t xml:space="preserve"> </w:t>
      </w:r>
      <w:r w:rsidRPr="00E9773B">
        <w:rPr>
          <w:rFonts w:ascii="Times New Roman" w:hAnsi="Times New Roman" w:cs="Times New Roman"/>
        </w:rPr>
        <w:t>институции. Во 1999 год. Министерството</w:t>
      </w:r>
      <w:r w:rsidR="00FB7D68">
        <w:rPr>
          <w:rFonts w:ascii="Times New Roman" w:hAnsi="Times New Roman" w:cs="Times New Roman"/>
        </w:rPr>
        <w:t xml:space="preserve"> </w:t>
      </w:r>
      <w:r w:rsidRPr="00E9773B">
        <w:rPr>
          <w:rFonts w:ascii="Times New Roman" w:hAnsi="Times New Roman" w:cs="Times New Roman"/>
        </w:rPr>
        <w:t>за</w:t>
      </w:r>
      <w:r w:rsidR="00FB7D68">
        <w:rPr>
          <w:rFonts w:ascii="Times New Roman" w:hAnsi="Times New Roman" w:cs="Times New Roman"/>
        </w:rPr>
        <w:t xml:space="preserve"> </w:t>
      </w:r>
      <w:r w:rsidRPr="00E9773B">
        <w:rPr>
          <w:rFonts w:ascii="Times New Roman" w:hAnsi="Times New Roman" w:cs="Times New Roman"/>
        </w:rPr>
        <w:t>финансии</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Англија, како</w:t>
      </w:r>
      <w:r w:rsidR="00FB7D68">
        <w:rPr>
          <w:rFonts w:ascii="Times New Roman" w:hAnsi="Times New Roman" w:cs="Times New Roman"/>
        </w:rPr>
        <w:t xml:space="preserve"> </w:t>
      </w:r>
      <w:r w:rsidRPr="00E9773B">
        <w:rPr>
          <w:rFonts w:ascii="Times New Roman" w:hAnsi="Times New Roman" w:cs="Times New Roman"/>
        </w:rPr>
        <w:t>производ</w:t>
      </w:r>
      <w:r w:rsidR="00FB7D68">
        <w:rPr>
          <w:rFonts w:ascii="Times New Roman" w:hAnsi="Times New Roman" w:cs="Times New Roman"/>
        </w:rPr>
        <w:t xml:space="preserve"> </w:t>
      </w:r>
      <w:r w:rsidRPr="00E9773B">
        <w:rPr>
          <w:rFonts w:ascii="Times New Roman" w:hAnsi="Times New Roman" w:cs="Times New Roman"/>
        </w:rPr>
        <w:t>од</w:t>
      </w:r>
      <w:r w:rsidR="00FB7D68">
        <w:rPr>
          <w:rFonts w:ascii="Times New Roman" w:hAnsi="Times New Roman" w:cs="Times New Roman"/>
        </w:rPr>
        <w:t xml:space="preserve"> </w:t>
      </w:r>
      <w:r w:rsidRPr="00E9773B">
        <w:rPr>
          <w:rFonts w:ascii="Times New Roman" w:hAnsi="Times New Roman" w:cs="Times New Roman"/>
        </w:rPr>
        <w:t>претходно</w:t>
      </w:r>
      <w:r w:rsidR="00FB7D68">
        <w:rPr>
          <w:rFonts w:ascii="Times New Roman" w:hAnsi="Times New Roman" w:cs="Times New Roman"/>
        </w:rPr>
        <w:t xml:space="preserve"> </w:t>
      </w:r>
      <w:r w:rsidRPr="00E9773B">
        <w:rPr>
          <w:rFonts w:ascii="Times New Roman" w:hAnsi="Times New Roman" w:cs="Times New Roman"/>
        </w:rPr>
        <w:t>донесените</w:t>
      </w:r>
      <w:r w:rsidR="00FB7D68">
        <w:rPr>
          <w:rFonts w:ascii="Times New Roman" w:hAnsi="Times New Roman" w:cs="Times New Roman"/>
        </w:rPr>
        <w:t xml:space="preserve"> </w:t>
      </w:r>
      <w:r w:rsidRPr="00E9773B">
        <w:rPr>
          <w:rFonts w:ascii="Times New Roman" w:hAnsi="Times New Roman" w:cs="Times New Roman"/>
        </w:rPr>
        <w:t>документи (Детален</w:t>
      </w:r>
      <w:r w:rsidR="00FB7D68">
        <w:rPr>
          <w:rFonts w:ascii="Times New Roman" w:hAnsi="Times New Roman" w:cs="Times New Roman"/>
        </w:rPr>
        <w:t xml:space="preserve"> </w:t>
      </w:r>
      <w:r w:rsidRPr="00E9773B">
        <w:rPr>
          <w:rFonts w:ascii="Times New Roman" w:hAnsi="Times New Roman" w:cs="Times New Roman"/>
        </w:rPr>
        <w:t>извештај</w:t>
      </w:r>
      <w:r w:rsidR="00FB7D68">
        <w:rPr>
          <w:rFonts w:ascii="Times New Roman" w:hAnsi="Times New Roman" w:cs="Times New Roman"/>
        </w:rPr>
        <w:t xml:space="preserve"> </w:t>
      </w:r>
      <w:r w:rsidRPr="00E9773B">
        <w:rPr>
          <w:rFonts w:ascii="Times New Roman" w:hAnsi="Times New Roman" w:cs="Times New Roman"/>
        </w:rPr>
        <w:t>за</w:t>
      </w:r>
      <w:r w:rsidR="00FB7D68">
        <w:rPr>
          <w:rFonts w:ascii="Times New Roman" w:hAnsi="Times New Roman" w:cs="Times New Roman"/>
        </w:rPr>
        <w:t xml:space="preserve"> </w:t>
      </w:r>
      <w:r w:rsidRPr="00E9773B">
        <w:rPr>
          <w:rFonts w:ascii="Times New Roman" w:hAnsi="Times New Roman" w:cs="Times New Roman"/>
        </w:rPr>
        <w:t>потрошувачката</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владата(Comprehensive Spending Review во</w:t>
      </w:r>
      <w:r w:rsidR="00FB7D68">
        <w:rPr>
          <w:rFonts w:ascii="Times New Roman" w:hAnsi="Times New Roman" w:cs="Times New Roman"/>
        </w:rPr>
        <w:t xml:space="preserve"> </w:t>
      </w:r>
      <w:r w:rsidRPr="00E9773B">
        <w:rPr>
          <w:rFonts w:ascii="Times New Roman" w:hAnsi="Times New Roman" w:cs="Times New Roman"/>
        </w:rPr>
        <w:t>јули 1998 година и Белата</w:t>
      </w:r>
      <w:r w:rsidR="00FB7D68">
        <w:rPr>
          <w:rFonts w:ascii="Times New Roman" w:hAnsi="Times New Roman" w:cs="Times New Roman"/>
        </w:rPr>
        <w:t xml:space="preserve"> </w:t>
      </w:r>
      <w:r w:rsidRPr="00E9773B">
        <w:rPr>
          <w:rFonts w:ascii="Times New Roman" w:hAnsi="Times New Roman" w:cs="Times New Roman"/>
        </w:rPr>
        <w:t>книга -White Paper во</w:t>
      </w:r>
      <w:r w:rsidR="00FB7D68">
        <w:rPr>
          <w:rFonts w:ascii="Times New Roman" w:hAnsi="Times New Roman" w:cs="Times New Roman"/>
        </w:rPr>
        <w:t xml:space="preserve"> </w:t>
      </w:r>
      <w:r w:rsidRPr="00E9773B">
        <w:rPr>
          <w:rFonts w:ascii="Times New Roman" w:hAnsi="Times New Roman" w:cs="Times New Roman"/>
        </w:rPr>
        <w:t>декември, 1998 година) го</w:t>
      </w:r>
      <w:r w:rsidR="00FB7D68">
        <w:rPr>
          <w:rFonts w:ascii="Times New Roman" w:hAnsi="Times New Roman" w:cs="Times New Roman"/>
        </w:rPr>
        <w:t xml:space="preserve"> </w:t>
      </w:r>
      <w:r w:rsidRPr="00E9773B">
        <w:rPr>
          <w:rFonts w:ascii="Times New Roman" w:hAnsi="Times New Roman" w:cs="Times New Roman"/>
        </w:rPr>
        <w:t>објави</w:t>
      </w:r>
      <w:r w:rsidR="00FB7D68">
        <w:rPr>
          <w:rFonts w:ascii="Times New Roman" w:hAnsi="Times New Roman" w:cs="Times New Roman"/>
        </w:rPr>
        <w:t xml:space="preserve"> документот з</w:t>
      </w:r>
      <w:r w:rsidRPr="00E9773B">
        <w:rPr>
          <w:rFonts w:ascii="Times New Roman" w:hAnsi="Times New Roman" w:cs="Times New Roman"/>
        </w:rPr>
        <w:t>а</w:t>
      </w:r>
      <w:r w:rsidR="00FB7D68">
        <w:rPr>
          <w:rFonts w:ascii="Times New Roman" w:hAnsi="Times New Roman" w:cs="Times New Roman"/>
        </w:rPr>
        <w:t xml:space="preserve"> </w:t>
      </w:r>
      <w:r w:rsidRPr="00E9773B">
        <w:rPr>
          <w:rFonts w:ascii="Times New Roman" w:hAnsi="Times New Roman" w:cs="Times New Roman"/>
        </w:rPr>
        <w:t>анализа и мерење</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аутпутот и перформансите</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владата „The Government’s Measures of Success:</w:t>
      </w:r>
      <w:r w:rsidR="00FB7D68">
        <w:rPr>
          <w:rFonts w:ascii="Times New Roman" w:hAnsi="Times New Roman" w:cs="Times New Roman"/>
        </w:rPr>
        <w:t xml:space="preserve"> </w:t>
      </w:r>
      <w:r w:rsidRPr="00E9773B">
        <w:rPr>
          <w:rFonts w:ascii="Times New Roman" w:hAnsi="Times New Roman" w:cs="Times New Roman"/>
        </w:rPr>
        <w:t>Output and Performance Analyses”, со</w:t>
      </w:r>
      <w:r w:rsidR="00FB7D68">
        <w:rPr>
          <w:rFonts w:ascii="Times New Roman" w:hAnsi="Times New Roman" w:cs="Times New Roman"/>
        </w:rPr>
        <w:t xml:space="preserve"> </w:t>
      </w:r>
      <w:r w:rsidRPr="00E9773B">
        <w:rPr>
          <w:rFonts w:ascii="Times New Roman" w:hAnsi="Times New Roman" w:cs="Times New Roman"/>
        </w:rPr>
        <w:t>кој</w:t>
      </w:r>
      <w:r w:rsidR="00FB7D68">
        <w:rPr>
          <w:rFonts w:ascii="Times New Roman" w:hAnsi="Times New Roman" w:cs="Times New Roman"/>
        </w:rPr>
        <w:t xml:space="preserve"> </w:t>
      </w:r>
      <w:r w:rsidRPr="00E9773B">
        <w:rPr>
          <w:rFonts w:ascii="Times New Roman" w:hAnsi="Times New Roman" w:cs="Times New Roman"/>
        </w:rPr>
        <w:t>се</w:t>
      </w:r>
      <w:r w:rsidR="00FB7D68">
        <w:rPr>
          <w:rFonts w:ascii="Times New Roman" w:hAnsi="Times New Roman" w:cs="Times New Roman"/>
        </w:rPr>
        <w:t xml:space="preserve"> </w:t>
      </w:r>
      <w:r w:rsidRPr="00E9773B">
        <w:rPr>
          <w:rFonts w:ascii="Times New Roman" w:hAnsi="Times New Roman" w:cs="Times New Roman"/>
        </w:rPr>
        <w:t>поставија</w:t>
      </w:r>
      <w:r w:rsidR="00FB7D68">
        <w:rPr>
          <w:rFonts w:ascii="Times New Roman" w:hAnsi="Times New Roman" w:cs="Times New Roman"/>
        </w:rPr>
        <w:t xml:space="preserve"> </w:t>
      </w:r>
      <w:r w:rsidRPr="00E9773B">
        <w:rPr>
          <w:rFonts w:ascii="Times New Roman" w:hAnsi="Times New Roman" w:cs="Times New Roman"/>
        </w:rPr>
        <w:t>критериумите</w:t>
      </w:r>
      <w:r w:rsidR="00FB7D68">
        <w:rPr>
          <w:rFonts w:ascii="Times New Roman" w:hAnsi="Times New Roman" w:cs="Times New Roman"/>
        </w:rPr>
        <w:t xml:space="preserve"> </w:t>
      </w:r>
      <w:r w:rsidRPr="00E9773B">
        <w:rPr>
          <w:rFonts w:ascii="Times New Roman" w:hAnsi="Times New Roman" w:cs="Times New Roman"/>
        </w:rPr>
        <w:t>за</w:t>
      </w:r>
      <w:r w:rsidR="00FB7D68">
        <w:rPr>
          <w:rFonts w:ascii="Times New Roman" w:hAnsi="Times New Roman" w:cs="Times New Roman"/>
        </w:rPr>
        <w:t xml:space="preserve"> </w:t>
      </w:r>
      <w:r w:rsidRPr="00E9773B">
        <w:rPr>
          <w:rFonts w:ascii="Times New Roman" w:hAnsi="Times New Roman" w:cs="Times New Roman"/>
        </w:rPr>
        <w:t>мерење</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успешноста</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владата</w:t>
      </w:r>
      <w:r w:rsidR="00FB7D68">
        <w:rPr>
          <w:rFonts w:ascii="Times New Roman" w:hAnsi="Times New Roman" w:cs="Times New Roman"/>
        </w:rPr>
        <w:t xml:space="preserve"> </w:t>
      </w:r>
      <w:r w:rsidRPr="00E9773B">
        <w:rPr>
          <w:rFonts w:ascii="Times New Roman" w:hAnsi="Times New Roman" w:cs="Times New Roman"/>
        </w:rPr>
        <w:t>во</w:t>
      </w:r>
      <w:r w:rsidR="00FB7D68">
        <w:rPr>
          <w:rFonts w:ascii="Times New Roman" w:hAnsi="Times New Roman" w:cs="Times New Roman"/>
        </w:rPr>
        <w:t xml:space="preserve"> </w:t>
      </w:r>
      <w:r w:rsidRPr="00E9773B">
        <w:rPr>
          <w:rFonts w:ascii="Times New Roman" w:hAnsi="Times New Roman" w:cs="Times New Roman"/>
        </w:rPr>
        <w:t>реализацијата</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зацртаните</w:t>
      </w:r>
      <w:r w:rsidR="00FB7D68">
        <w:rPr>
          <w:rFonts w:ascii="Times New Roman" w:hAnsi="Times New Roman" w:cs="Times New Roman"/>
        </w:rPr>
        <w:t xml:space="preserve"> </w:t>
      </w:r>
      <w:r w:rsidRPr="00E9773B">
        <w:rPr>
          <w:rFonts w:ascii="Times New Roman" w:hAnsi="Times New Roman" w:cs="Times New Roman"/>
        </w:rPr>
        <w:t>цели и обезбедувањето</w:t>
      </w:r>
      <w:r w:rsidR="00FB7D68">
        <w:rPr>
          <w:rFonts w:ascii="Times New Roman" w:hAnsi="Times New Roman" w:cs="Times New Roman"/>
        </w:rPr>
        <w:t xml:space="preserve"> </w:t>
      </w:r>
      <w:r w:rsidRPr="00E9773B">
        <w:rPr>
          <w:rFonts w:ascii="Times New Roman" w:hAnsi="Times New Roman" w:cs="Times New Roman"/>
        </w:rPr>
        <w:t>на</w:t>
      </w:r>
      <w:r w:rsidR="00FB7D68">
        <w:rPr>
          <w:rFonts w:ascii="Times New Roman" w:hAnsi="Times New Roman" w:cs="Times New Roman"/>
        </w:rPr>
        <w:t xml:space="preserve"> </w:t>
      </w:r>
      <w:r w:rsidRPr="00E9773B">
        <w:rPr>
          <w:rFonts w:ascii="Times New Roman" w:hAnsi="Times New Roman" w:cs="Times New Roman"/>
        </w:rPr>
        <w:t>поквалитетни</w:t>
      </w:r>
      <w:r w:rsidR="00FB7D68">
        <w:rPr>
          <w:rFonts w:ascii="Times New Roman" w:hAnsi="Times New Roman" w:cs="Times New Roman"/>
        </w:rPr>
        <w:t xml:space="preserve"> </w:t>
      </w:r>
      <w:r w:rsidRPr="00E9773B">
        <w:rPr>
          <w:rFonts w:ascii="Times New Roman" w:hAnsi="Times New Roman" w:cs="Times New Roman"/>
        </w:rPr>
        <w:t>јавни</w:t>
      </w:r>
      <w:r w:rsidR="00FB7D68">
        <w:rPr>
          <w:rFonts w:ascii="Times New Roman" w:hAnsi="Times New Roman" w:cs="Times New Roman"/>
        </w:rPr>
        <w:t xml:space="preserve"> </w:t>
      </w:r>
      <w:r w:rsidRPr="00E9773B">
        <w:rPr>
          <w:rFonts w:ascii="Times New Roman" w:hAnsi="Times New Roman" w:cs="Times New Roman"/>
        </w:rPr>
        <w:t>услуги</w:t>
      </w:r>
      <w:r>
        <w:rPr>
          <w:rFonts w:ascii="Times New Roman" w:hAnsi="Times New Roman" w:cs="Times New Roman"/>
        </w:rPr>
        <w:t>.</w:t>
      </w:r>
      <w:r w:rsidR="00FB7D68">
        <w:rPr>
          <w:rFonts w:ascii="Times New Roman" w:hAnsi="Times New Roman" w:cs="Times New Roman"/>
        </w:rPr>
        <w:t xml:space="preserve"> </w:t>
      </w:r>
      <w:r w:rsidRPr="00953A49">
        <w:rPr>
          <w:rFonts w:ascii="Times New Roman" w:hAnsi="Times New Roman" w:cs="Times New Roman"/>
        </w:rPr>
        <w:t>Активности</w:t>
      </w:r>
      <w:r w:rsidR="00FB7D68">
        <w:rPr>
          <w:rFonts w:ascii="Times New Roman" w:hAnsi="Times New Roman" w:cs="Times New Roman"/>
        </w:rPr>
        <w:t xml:space="preserve"> </w:t>
      </w:r>
      <w:r w:rsidRPr="00953A49">
        <w:rPr>
          <w:rFonts w:ascii="Times New Roman" w:hAnsi="Times New Roman" w:cs="Times New Roman"/>
        </w:rPr>
        <w:t>од</w:t>
      </w:r>
      <w:r w:rsidR="00FB7D68">
        <w:rPr>
          <w:rFonts w:ascii="Times New Roman" w:hAnsi="Times New Roman" w:cs="Times New Roman"/>
        </w:rPr>
        <w:t xml:space="preserve"> </w:t>
      </w:r>
      <w:r w:rsidRPr="00953A49">
        <w:rPr>
          <w:rFonts w:ascii="Times New Roman" w:hAnsi="Times New Roman" w:cs="Times New Roman"/>
        </w:rPr>
        <w:t>овој</w:t>
      </w:r>
      <w:r w:rsidR="00FB7D68">
        <w:rPr>
          <w:rFonts w:ascii="Times New Roman" w:hAnsi="Times New Roman" w:cs="Times New Roman"/>
        </w:rPr>
        <w:t xml:space="preserve"> </w:t>
      </w:r>
      <w:r w:rsidRPr="00953A49">
        <w:rPr>
          <w:rFonts w:ascii="Times New Roman" w:hAnsi="Times New Roman" w:cs="Times New Roman"/>
        </w:rPr>
        <w:t>вид</w:t>
      </w:r>
      <w:r w:rsidR="00FB7D68">
        <w:rPr>
          <w:rFonts w:ascii="Times New Roman" w:hAnsi="Times New Roman" w:cs="Times New Roman"/>
        </w:rPr>
        <w:t xml:space="preserve"> </w:t>
      </w:r>
      <w:r>
        <w:rPr>
          <w:rFonts w:ascii="Times New Roman" w:hAnsi="Times New Roman" w:cs="Times New Roman"/>
        </w:rPr>
        <w:t>беа</w:t>
      </w:r>
      <w:r w:rsidR="00FB7D68">
        <w:rPr>
          <w:rFonts w:ascii="Times New Roman" w:hAnsi="Times New Roman" w:cs="Times New Roman"/>
        </w:rPr>
        <w:t xml:space="preserve"> </w:t>
      </w:r>
      <w:r>
        <w:rPr>
          <w:rFonts w:ascii="Times New Roman" w:hAnsi="Times New Roman" w:cs="Times New Roman"/>
        </w:rPr>
        <w:t>преземени и во</w:t>
      </w:r>
      <w:r w:rsidR="00FB7D68">
        <w:rPr>
          <w:rFonts w:ascii="Times New Roman" w:hAnsi="Times New Roman" w:cs="Times New Roman"/>
        </w:rPr>
        <w:t xml:space="preserve"> </w:t>
      </w:r>
      <w:r>
        <w:rPr>
          <w:rFonts w:ascii="Times New Roman" w:hAnsi="Times New Roman" w:cs="Times New Roman"/>
        </w:rPr>
        <w:t>други</w:t>
      </w:r>
      <w:r w:rsidR="00FB7D68">
        <w:rPr>
          <w:rFonts w:ascii="Times New Roman" w:hAnsi="Times New Roman" w:cs="Times New Roman"/>
        </w:rPr>
        <w:t xml:space="preserve"> </w:t>
      </w:r>
      <w:r>
        <w:rPr>
          <w:rFonts w:ascii="Times New Roman" w:hAnsi="Times New Roman" w:cs="Times New Roman"/>
        </w:rPr>
        <w:t>земји:</w:t>
      </w:r>
      <w:r w:rsidR="00FB7D68">
        <w:rPr>
          <w:rFonts w:ascii="Times New Roman" w:hAnsi="Times New Roman" w:cs="Times New Roman"/>
        </w:rPr>
        <w:t xml:space="preserve"> </w:t>
      </w:r>
      <w:r w:rsidRPr="00953A49">
        <w:rPr>
          <w:rFonts w:ascii="Times New Roman" w:hAnsi="Times New Roman" w:cs="Times New Roman"/>
        </w:rPr>
        <w:t>Кана</w:t>
      </w:r>
      <w:r>
        <w:rPr>
          <w:rFonts w:ascii="Times New Roman" w:hAnsi="Times New Roman" w:cs="Times New Roman"/>
        </w:rPr>
        <w:t>да, Холандија, Австралија и др.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FF"/>
    <w:rsid w:val="0000039A"/>
    <w:rsid w:val="000011EF"/>
    <w:rsid w:val="000014CB"/>
    <w:rsid w:val="00001BA9"/>
    <w:rsid w:val="00001CA9"/>
    <w:rsid w:val="00001EC3"/>
    <w:rsid w:val="00002954"/>
    <w:rsid w:val="000035C9"/>
    <w:rsid w:val="00003C1C"/>
    <w:rsid w:val="00004BB0"/>
    <w:rsid w:val="00005D6E"/>
    <w:rsid w:val="00005F6A"/>
    <w:rsid w:val="00005F75"/>
    <w:rsid w:val="000064F9"/>
    <w:rsid w:val="00006E4E"/>
    <w:rsid w:val="000109CD"/>
    <w:rsid w:val="00010A23"/>
    <w:rsid w:val="00010F9B"/>
    <w:rsid w:val="0001166A"/>
    <w:rsid w:val="00011AD7"/>
    <w:rsid w:val="000127FA"/>
    <w:rsid w:val="00013BA9"/>
    <w:rsid w:val="00014927"/>
    <w:rsid w:val="00014BB3"/>
    <w:rsid w:val="00016898"/>
    <w:rsid w:val="00020E91"/>
    <w:rsid w:val="00021E68"/>
    <w:rsid w:val="00022D81"/>
    <w:rsid w:val="000239CE"/>
    <w:rsid w:val="00025DB6"/>
    <w:rsid w:val="00027604"/>
    <w:rsid w:val="000307FB"/>
    <w:rsid w:val="00030D86"/>
    <w:rsid w:val="000334AC"/>
    <w:rsid w:val="000355F5"/>
    <w:rsid w:val="0003581D"/>
    <w:rsid w:val="000379C1"/>
    <w:rsid w:val="00037F94"/>
    <w:rsid w:val="00040C3F"/>
    <w:rsid w:val="00041453"/>
    <w:rsid w:val="00042991"/>
    <w:rsid w:val="00043673"/>
    <w:rsid w:val="00044982"/>
    <w:rsid w:val="00044EE9"/>
    <w:rsid w:val="00045DD7"/>
    <w:rsid w:val="000468CE"/>
    <w:rsid w:val="00047499"/>
    <w:rsid w:val="00047A7A"/>
    <w:rsid w:val="00050124"/>
    <w:rsid w:val="000503C4"/>
    <w:rsid w:val="00053275"/>
    <w:rsid w:val="000534FE"/>
    <w:rsid w:val="00054978"/>
    <w:rsid w:val="000554AC"/>
    <w:rsid w:val="00055D78"/>
    <w:rsid w:val="0005680F"/>
    <w:rsid w:val="00056895"/>
    <w:rsid w:val="0006362F"/>
    <w:rsid w:val="0006408C"/>
    <w:rsid w:val="000645C8"/>
    <w:rsid w:val="0006496B"/>
    <w:rsid w:val="00064B77"/>
    <w:rsid w:val="00064BC1"/>
    <w:rsid w:val="00064E9A"/>
    <w:rsid w:val="00065370"/>
    <w:rsid w:val="0006562B"/>
    <w:rsid w:val="00066BCF"/>
    <w:rsid w:val="000702F4"/>
    <w:rsid w:val="00070AA9"/>
    <w:rsid w:val="0007103F"/>
    <w:rsid w:val="000715A1"/>
    <w:rsid w:val="000718A5"/>
    <w:rsid w:val="00071C1C"/>
    <w:rsid w:val="0007210D"/>
    <w:rsid w:val="00074290"/>
    <w:rsid w:val="000742F3"/>
    <w:rsid w:val="00074D79"/>
    <w:rsid w:val="00075474"/>
    <w:rsid w:val="00077586"/>
    <w:rsid w:val="0008023D"/>
    <w:rsid w:val="000822EE"/>
    <w:rsid w:val="00082424"/>
    <w:rsid w:val="0008268A"/>
    <w:rsid w:val="000828A3"/>
    <w:rsid w:val="000830DD"/>
    <w:rsid w:val="000834F6"/>
    <w:rsid w:val="0008377F"/>
    <w:rsid w:val="00085E95"/>
    <w:rsid w:val="0008650D"/>
    <w:rsid w:val="000867BB"/>
    <w:rsid w:val="0009226A"/>
    <w:rsid w:val="00092DB0"/>
    <w:rsid w:val="00093D32"/>
    <w:rsid w:val="000953DE"/>
    <w:rsid w:val="000955C6"/>
    <w:rsid w:val="000966CC"/>
    <w:rsid w:val="00096E41"/>
    <w:rsid w:val="000A0344"/>
    <w:rsid w:val="000A147A"/>
    <w:rsid w:val="000A267F"/>
    <w:rsid w:val="000A29A6"/>
    <w:rsid w:val="000A449B"/>
    <w:rsid w:val="000A4B46"/>
    <w:rsid w:val="000A52CB"/>
    <w:rsid w:val="000A71EC"/>
    <w:rsid w:val="000A7241"/>
    <w:rsid w:val="000A7EDC"/>
    <w:rsid w:val="000B0316"/>
    <w:rsid w:val="000B06C9"/>
    <w:rsid w:val="000B1444"/>
    <w:rsid w:val="000B2849"/>
    <w:rsid w:val="000B2E8F"/>
    <w:rsid w:val="000B329C"/>
    <w:rsid w:val="000B3B73"/>
    <w:rsid w:val="000B670C"/>
    <w:rsid w:val="000B70BB"/>
    <w:rsid w:val="000B7C1A"/>
    <w:rsid w:val="000B7F68"/>
    <w:rsid w:val="000B7F6E"/>
    <w:rsid w:val="000B7FD3"/>
    <w:rsid w:val="000C1099"/>
    <w:rsid w:val="000C2CC2"/>
    <w:rsid w:val="000C3E36"/>
    <w:rsid w:val="000C59A9"/>
    <w:rsid w:val="000C662D"/>
    <w:rsid w:val="000C6A7B"/>
    <w:rsid w:val="000C7A18"/>
    <w:rsid w:val="000D0A0E"/>
    <w:rsid w:val="000D2CD8"/>
    <w:rsid w:val="000D31B0"/>
    <w:rsid w:val="000D3CBD"/>
    <w:rsid w:val="000D641D"/>
    <w:rsid w:val="000D65B1"/>
    <w:rsid w:val="000D768F"/>
    <w:rsid w:val="000E00D6"/>
    <w:rsid w:val="000E026D"/>
    <w:rsid w:val="000E026E"/>
    <w:rsid w:val="000E104B"/>
    <w:rsid w:val="000E136A"/>
    <w:rsid w:val="000E1BAC"/>
    <w:rsid w:val="000E1F85"/>
    <w:rsid w:val="000E226B"/>
    <w:rsid w:val="000E4D9E"/>
    <w:rsid w:val="000E53AE"/>
    <w:rsid w:val="000E6BA6"/>
    <w:rsid w:val="000E77BD"/>
    <w:rsid w:val="000E7948"/>
    <w:rsid w:val="000F0397"/>
    <w:rsid w:val="000F59A2"/>
    <w:rsid w:val="000F5BCA"/>
    <w:rsid w:val="000F5EDA"/>
    <w:rsid w:val="000F6355"/>
    <w:rsid w:val="000F73EB"/>
    <w:rsid w:val="00100400"/>
    <w:rsid w:val="00100EFE"/>
    <w:rsid w:val="00102441"/>
    <w:rsid w:val="00102A31"/>
    <w:rsid w:val="00103440"/>
    <w:rsid w:val="00103B34"/>
    <w:rsid w:val="001043AF"/>
    <w:rsid w:val="00104407"/>
    <w:rsid w:val="00104B4F"/>
    <w:rsid w:val="00104E17"/>
    <w:rsid w:val="001059AB"/>
    <w:rsid w:val="00107842"/>
    <w:rsid w:val="001116EF"/>
    <w:rsid w:val="00111D7A"/>
    <w:rsid w:val="00111F64"/>
    <w:rsid w:val="0011209E"/>
    <w:rsid w:val="001124EB"/>
    <w:rsid w:val="00112EB7"/>
    <w:rsid w:val="00113A10"/>
    <w:rsid w:val="0011581E"/>
    <w:rsid w:val="00117E83"/>
    <w:rsid w:val="00121F9A"/>
    <w:rsid w:val="00122431"/>
    <w:rsid w:val="00123791"/>
    <w:rsid w:val="001240E6"/>
    <w:rsid w:val="0012670A"/>
    <w:rsid w:val="00126A5A"/>
    <w:rsid w:val="001310BA"/>
    <w:rsid w:val="00131499"/>
    <w:rsid w:val="00133731"/>
    <w:rsid w:val="00133D83"/>
    <w:rsid w:val="00134F3B"/>
    <w:rsid w:val="00135401"/>
    <w:rsid w:val="001369C2"/>
    <w:rsid w:val="0014031F"/>
    <w:rsid w:val="00141725"/>
    <w:rsid w:val="0014183C"/>
    <w:rsid w:val="0014344B"/>
    <w:rsid w:val="0014444E"/>
    <w:rsid w:val="0014579D"/>
    <w:rsid w:val="00146286"/>
    <w:rsid w:val="00150D45"/>
    <w:rsid w:val="00151FD6"/>
    <w:rsid w:val="00152120"/>
    <w:rsid w:val="00152298"/>
    <w:rsid w:val="001529C2"/>
    <w:rsid w:val="00154B46"/>
    <w:rsid w:val="00154CEE"/>
    <w:rsid w:val="0015512C"/>
    <w:rsid w:val="001553F7"/>
    <w:rsid w:val="00155499"/>
    <w:rsid w:val="001556BC"/>
    <w:rsid w:val="00157108"/>
    <w:rsid w:val="00157B47"/>
    <w:rsid w:val="00157E36"/>
    <w:rsid w:val="00160A75"/>
    <w:rsid w:val="001613C6"/>
    <w:rsid w:val="00162852"/>
    <w:rsid w:val="00164B5D"/>
    <w:rsid w:val="00164C6C"/>
    <w:rsid w:val="00164EE1"/>
    <w:rsid w:val="00165ADD"/>
    <w:rsid w:val="00166DB1"/>
    <w:rsid w:val="00172DDA"/>
    <w:rsid w:val="00172F1C"/>
    <w:rsid w:val="00173A9C"/>
    <w:rsid w:val="00173B4D"/>
    <w:rsid w:val="001751A0"/>
    <w:rsid w:val="0017678D"/>
    <w:rsid w:val="00177797"/>
    <w:rsid w:val="0018148C"/>
    <w:rsid w:val="00181636"/>
    <w:rsid w:val="00181769"/>
    <w:rsid w:val="001819B4"/>
    <w:rsid w:val="00181C03"/>
    <w:rsid w:val="00182542"/>
    <w:rsid w:val="00182B8E"/>
    <w:rsid w:val="00182F8C"/>
    <w:rsid w:val="00183A26"/>
    <w:rsid w:val="00184EDB"/>
    <w:rsid w:val="00185E64"/>
    <w:rsid w:val="00193B37"/>
    <w:rsid w:val="00194A0C"/>
    <w:rsid w:val="00194B5A"/>
    <w:rsid w:val="001957D6"/>
    <w:rsid w:val="001963EB"/>
    <w:rsid w:val="001976C2"/>
    <w:rsid w:val="001A0181"/>
    <w:rsid w:val="001A050F"/>
    <w:rsid w:val="001A27B2"/>
    <w:rsid w:val="001A52D6"/>
    <w:rsid w:val="001A58E7"/>
    <w:rsid w:val="001A5ED5"/>
    <w:rsid w:val="001A65FE"/>
    <w:rsid w:val="001A780D"/>
    <w:rsid w:val="001B051B"/>
    <w:rsid w:val="001B17F5"/>
    <w:rsid w:val="001B2E77"/>
    <w:rsid w:val="001B3638"/>
    <w:rsid w:val="001B425E"/>
    <w:rsid w:val="001B6750"/>
    <w:rsid w:val="001C0411"/>
    <w:rsid w:val="001C2345"/>
    <w:rsid w:val="001C2E33"/>
    <w:rsid w:val="001C325E"/>
    <w:rsid w:val="001C37D0"/>
    <w:rsid w:val="001C5670"/>
    <w:rsid w:val="001C6682"/>
    <w:rsid w:val="001C7549"/>
    <w:rsid w:val="001C7B83"/>
    <w:rsid w:val="001C7C32"/>
    <w:rsid w:val="001D09DC"/>
    <w:rsid w:val="001D0F1C"/>
    <w:rsid w:val="001D1041"/>
    <w:rsid w:val="001D128B"/>
    <w:rsid w:val="001D1D1A"/>
    <w:rsid w:val="001D377E"/>
    <w:rsid w:val="001D3B34"/>
    <w:rsid w:val="001D3BB8"/>
    <w:rsid w:val="001D4962"/>
    <w:rsid w:val="001D5902"/>
    <w:rsid w:val="001D68A4"/>
    <w:rsid w:val="001D7474"/>
    <w:rsid w:val="001E1B5D"/>
    <w:rsid w:val="001E1DC2"/>
    <w:rsid w:val="001E34A5"/>
    <w:rsid w:val="001E3C11"/>
    <w:rsid w:val="001E4405"/>
    <w:rsid w:val="001E447E"/>
    <w:rsid w:val="001E52BA"/>
    <w:rsid w:val="001E6188"/>
    <w:rsid w:val="001E63B4"/>
    <w:rsid w:val="001E6B7D"/>
    <w:rsid w:val="001E6DDB"/>
    <w:rsid w:val="001E6EB2"/>
    <w:rsid w:val="001E7322"/>
    <w:rsid w:val="001F212A"/>
    <w:rsid w:val="001F27AA"/>
    <w:rsid w:val="001F2ABA"/>
    <w:rsid w:val="001F2FCA"/>
    <w:rsid w:val="001F474C"/>
    <w:rsid w:val="001F54FA"/>
    <w:rsid w:val="001F66D9"/>
    <w:rsid w:val="001F6866"/>
    <w:rsid w:val="001F7080"/>
    <w:rsid w:val="001F71B5"/>
    <w:rsid w:val="001F76AD"/>
    <w:rsid w:val="00200084"/>
    <w:rsid w:val="00201BBA"/>
    <w:rsid w:val="002036B5"/>
    <w:rsid w:val="002040E8"/>
    <w:rsid w:val="002048D9"/>
    <w:rsid w:val="00204BC3"/>
    <w:rsid w:val="002053AA"/>
    <w:rsid w:val="002053EC"/>
    <w:rsid w:val="002054B5"/>
    <w:rsid w:val="00206222"/>
    <w:rsid w:val="0020633A"/>
    <w:rsid w:val="00210972"/>
    <w:rsid w:val="00210B8F"/>
    <w:rsid w:val="00210D44"/>
    <w:rsid w:val="00212695"/>
    <w:rsid w:val="00212E4B"/>
    <w:rsid w:val="00213025"/>
    <w:rsid w:val="00213ACA"/>
    <w:rsid w:val="00214016"/>
    <w:rsid w:val="00214031"/>
    <w:rsid w:val="002145A2"/>
    <w:rsid w:val="002160D1"/>
    <w:rsid w:val="00216866"/>
    <w:rsid w:val="00217207"/>
    <w:rsid w:val="00217F28"/>
    <w:rsid w:val="00220477"/>
    <w:rsid w:val="00220C71"/>
    <w:rsid w:val="00220EBB"/>
    <w:rsid w:val="00224719"/>
    <w:rsid w:val="00224E73"/>
    <w:rsid w:val="002254BC"/>
    <w:rsid w:val="00225D6F"/>
    <w:rsid w:val="0022729C"/>
    <w:rsid w:val="002274FC"/>
    <w:rsid w:val="00227712"/>
    <w:rsid w:val="002277BE"/>
    <w:rsid w:val="00227F70"/>
    <w:rsid w:val="00230387"/>
    <w:rsid w:val="00232340"/>
    <w:rsid w:val="00232D80"/>
    <w:rsid w:val="002347CE"/>
    <w:rsid w:val="00234B3E"/>
    <w:rsid w:val="002351FD"/>
    <w:rsid w:val="0023589A"/>
    <w:rsid w:val="00235FCC"/>
    <w:rsid w:val="0023757C"/>
    <w:rsid w:val="002403FE"/>
    <w:rsid w:val="002411AE"/>
    <w:rsid w:val="00243028"/>
    <w:rsid w:val="002435C6"/>
    <w:rsid w:val="00243C46"/>
    <w:rsid w:val="00243D2F"/>
    <w:rsid w:val="00245454"/>
    <w:rsid w:val="00246076"/>
    <w:rsid w:val="00246AFC"/>
    <w:rsid w:val="00246CEE"/>
    <w:rsid w:val="0024751B"/>
    <w:rsid w:val="0024784E"/>
    <w:rsid w:val="00247B0A"/>
    <w:rsid w:val="00250701"/>
    <w:rsid w:val="002519CB"/>
    <w:rsid w:val="00251A85"/>
    <w:rsid w:val="00251CEA"/>
    <w:rsid w:val="00252819"/>
    <w:rsid w:val="002531AE"/>
    <w:rsid w:val="002554FB"/>
    <w:rsid w:val="0025584B"/>
    <w:rsid w:val="00255CAC"/>
    <w:rsid w:val="00256500"/>
    <w:rsid w:val="002572B9"/>
    <w:rsid w:val="0025758D"/>
    <w:rsid w:val="00257DF5"/>
    <w:rsid w:val="00261C54"/>
    <w:rsid w:val="00262AD4"/>
    <w:rsid w:val="00262BEF"/>
    <w:rsid w:val="00263A39"/>
    <w:rsid w:val="00265E29"/>
    <w:rsid w:val="002671AB"/>
    <w:rsid w:val="002672F4"/>
    <w:rsid w:val="00267420"/>
    <w:rsid w:val="00267554"/>
    <w:rsid w:val="00267B9F"/>
    <w:rsid w:val="00270854"/>
    <w:rsid w:val="00270E15"/>
    <w:rsid w:val="002710A5"/>
    <w:rsid w:val="002736B5"/>
    <w:rsid w:val="00273B55"/>
    <w:rsid w:val="00273F1E"/>
    <w:rsid w:val="00273F32"/>
    <w:rsid w:val="0027482A"/>
    <w:rsid w:val="002751FA"/>
    <w:rsid w:val="00277199"/>
    <w:rsid w:val="00281A06"/>
    <w:rsid w:val="00281D99"/>
    <w:rsid w:val="00281E6B"/>
    <w:rsid w:val="00282A2B"/>
    <w:rsid w:val="00282B86"/>
    <w:rsid w:val="00283D46"/>
    <w:rsid w:val="002849A0"/>
    <w:rsid w:val="0028507B"/>
    <w:rsid w:val="00286564"/>
    <w:rsid w:val="00287196"/>
    <w:rsid w:val="00287A09"/>
    <w:rsid w:val="00287F92"/>
    <w:rsid w:val="002907EB"/>
    <w:rsid w:val="00291499"/>
    <w:rsid w:val="0029170B"/>
    <w:rsid w:val="00291EA1"/>
    <w:rsid w:val="002933F4"/>
    <w:rsid w:val="00294C6B"/>
    <w:rsid w:val="00294D60"/>
    <w:rsid w:val="00295245"/>
    <w:rsid w:val="00296541"/>
    <w:rsid w:val="002968F3"/>
    <w:rsid w:val="002970EA"/>
    <w:rsid w:val="00297204"/>
    <w:rsid w:val="0029749A"/>
    <w:rsid w:val="00297ABB"/>
    <w:rsid w:val="002A20A6"/>
    <w:rsid w:val="002A230C"/>
    <w:rsid w:val="002A2929"/>
    <w:rsid w:val="002A30BF"/>
    <w:rsid w:val="002A37B8"/>
    <w:rsid w:val="002A3C75"/>
    <w:rsid w:val="002A56A1"/>
    <w:rsid w:val="002A6A65"/>
    <w:rsid w:val="002B08F8"/>
    <w:rsid w:val="002B141D"/>
    <w:rsid w:val="002B16EA"/>
    <w:rsid w:val="002B25B9"/>
    <w:rsid w:val="002B3726"/>
    <w:rsid w:val="002B4398"/>
    <w:rsid w:val="002B4861"/>
    <w:rsid w:val="002B5233"/>
    <w:rsid w:val="002B6B77"/>
    <w:rsid w:val="002B77D9"/>
    <w:rsid w:val="002B7E67"/>
    <w:rsid w:val="002C1C18"/>
    <w:rsid w:val="002C1F6D"/>
    <w:rsid w:val="002C4433"/>
    <w:rsid w:val="002C532B"/>
    <w:rsid w:val="002C6F06"/>
    <w:rsid w:val="002C7044"/>
    <w:rsid w:val="002C71AE"/>
    <w:rsid w:val="002D0022"/>
    <w:rsid w:val="002D0242"/>
    <w:rsid w:val="002D05A0"/>
    <w:rsid w:val="002D1177"/>
    <w:rsid w:val="002D17C9"/>
    <w:rsid w:val="002D1C14"/>
    <w:rsid w:val="002D2E9F"/>
    <w:rsid w:val="002D62A7"/>
    <w:rsid w:val="002D6443"/>
    <w:rsid w:val="002D66C1"/>
    <w:rsid w:val="002D6812"/>
    <w:rsid w:val="002D6916"/>
    <w:rsid w:val="002E1788"/>
    <w:rsid w:val="002E194C"/>
    <w:rsid w:val="002E2213"/>
    <w:rsid w:val="002E28CC"/>
    <w:rsid w:val="002E353F"/>
    <w:rsid w:val="002E463B"/>
    <w:rsid w:val="002E493B"/>
    <w:rsid w:val="002E4FC0"/>
    <w:rsid w:val="002E550E"/>
    <w:rsid w:val="002E5E51"/>
    <w:rsid w:val="002E7098"/>
    <w:rsid w:val="002E70C5"/>
    <w:rsid w:val="002E7108"/>
    <w:rsid w:val="002E7F5E"/>
    <w:rsid w:val="002F05B0"/>
    <w:rsid w:val="002F1D59"/>
    <w:rsid w:val="002F2262"/>
    <w:rsid w:val="002F2A11"/>
    <w:rsid w:val="002F497B"/>
    <w:rsid w:val="002F500D"/>
    <w:rsid w:val="002F5BDE"/>
    <w:rsid w:val="002F75BE"/>
    <w:rsid w:val="002F78F5"/>
    <w:rsid w:val="002F790F"/>
    <w:rsid w:val="002F7E97"/>
    <w:rsid w:val="0030022A"/>
    <w:rsid w:val="00301F64"/>
    <w:rsid w:val="0030435D"/>
    <w:rsid w:val="003112AF"/>
    <w:rsid w:val="003124F7"/>
    <w:rsid w:val="00313103"/>
    <w:rsid w:val="00313DB7"/>
    <w:rsid w:val="0031429D"/>
    <w:rsid w:val="00314BFB"/>
    <w:rsid w:val="00314D18"/>
    <w:rsid w:val="00314FD0"/>
    <w:rsid w:val="003159E4"/>
    <w:rsid w:val="00315F46"/>
    <w:rsid w:val="003166B9"/>
    <w:rsid w:val="00317112"/>
    <w:rsid w:val="0031720C"/>
    <w:rsid w:val="003172DF"/>
    <w:rsid w:val="0031780C"/>
    <w:rsid w:val="00320DF2"/>
    <w:rsid w:val="00321728"/>
    <w:rsid w:val="00321998"/>
    <w:rsid w:val="00321EB3"/>
    <w:rsid w:val="0032224E"/>
    <w:rsid w:val="003229D7"/>
    <w:rsid w:val="00322DF8"/>
    <w:rsid w:val="00322F78"/>
    <w:rsid w:val="00322FFE"/>
    <w:rsid w:val="003240BA"/>
    <w:rsid w:val="003244BE"/>
    <w:rsid w:val="0032555B"/>
    <w:rsid w:val="00325566"/>
    <w:rsid w:val="003263A4"/>
    <w:rsid w:val="00326866"/>
    <w:rsid w:val="00326D7B"/>
    <w:rsid w:val="00326EF5"/>
    <w:rsid w:val="00330A0C"/>
    <w:rsid w:val="00330A99"/>
    <w:rsid w:val="00331328"/>
    <w:rsid w:val="00331691"/>
    <w:rsid w:val="003335F3"/>
    <w:rsid w:val="00335725"/>
    <w:rsid w:val="0033635F"/>
    <w:rsid w:val="003369AE"/>
    <w:rsid w:val="00336ED5"/>
    <w:rsid w:val="00337166"/>
    <w:rsid w:val="003372E0"/>
    <w:rsid w:val="00337C21"/>
    <w:rsid w:val="003401E9"/>
    <w:rsid w:val="003411FB"/>
    <w:rsid w:val="003413E7"/>
    <w:rsid w:val="00343FF1"/>
    <w:rsid w:val="00344038"/>
    <w:rsid w:val="00344305"/>
    <w:rsid w:val="00345270"/>
    <w:rsid w:val="0034564B"/>
    <w:rsid w:val="003460DC"/>
    <w:rsid w:val="00346A4F"/>
    <w:rsid w:val="0035169E"/>
    <w:rsid w:val="00352323"/>
    <w:rsid w:val="003543A3"/>
    <w:rsid w:val="00354BDC"/>
    <w:rsid w:val="00354CCD"/>
    <w:rsid w:val="003559E0"/>
    <w:rsid w:val="00355D8C"/>
    <w:rsid w:val="00356315"/>
    <w:rsid w:val="00356574"/>
    <w:rsid w:val="003565C0"/>
    <w:rsid w:val="0035663E"/>
    <w:rsid w:val="0035674B"/>
    <w:rsid w:val="00356997"/>
    <w:rsid w:val="00356C5F"/>
    <w:rsid w:val="00357A8D"/>
    <w:rsid w:val="00360DC8"/>
    <w:rsid w:val="00361B39"/>
    <w:rsid w:val="00361F4A"/>
    <w:rsid w:val="00364840"/>
    <w:rsid w:val="003659FC"/>
    <w:rsid w:val="003666DE"/>
    <w:rsid w:val="00366D0D"/>
    <w:rsid w:val="0037039B"/>
    <w:rsid w:val="00370424"/>
    <w:rsid w:val="00371E80"/>
    <w:rsid w:val="003731E7"/>
    <w:rsid w:val="00374308"/>
    <w:rsid w:val="003745AF"/>
    <w:rsid w:val="003758EC"/>
    <w:rsid w:val="00375959"/>
    <w:rsid w:val="0037697F"/>
    <w:rsid w:val="00381591"/>
    <w:rsid w:val="003826A5"/>
    <w:rsid w:val="0038293D"/>
    <w:rsid w:val="00386663"/>
    <w:rsid w:val="00386856"/>
    <w:rsid w:val="0038704E"/>
    <w:rsid w:val="00390993"/>
    <w:rsid w:val="003919E7"/>
    <w:rsid w:val="003929C1"/>
    <w:rsid w:val="00395B77"/>
    <w:rsid w:val="00396345"/>
    <w:rsid w:val="00396ABB"/>
    <w:rsid w:val="003A0681"/>
    <w:rsid w:val="003A1066"/>
    <w:rsid w:val="003A114D"/>
    <w:rsid w:val="003A207C"/>
    <w:rsid w:val="003A253C"/>
    <w:rsid w:val="003A58EB"/>
    <w:rsid w:val="003A60EF"/>
    <w:rsid w:val="003A6D13"/>
    <w:rsid w:val="003B0A73"/>
    <w:rsid w:val="003B2860"/>
    <w:rsid w:val="003B29C0"/>
    <w:rsid w:val="003B3867"/>
    <w:rsid w:val="003B3E7B"/>
    <w:rsid w:val="003B4B84"/>
    <w:rsid w:val="003B5C8A"/>
    <w:rsid w:val="003B69CA"/>
    <w:rsid w:val="003B784E"/>
    <w:rsid w:val="003B7892"/>
    <w:rsid w:val="003B7DCE"/>
    <w:rsid w:val="003C00A1"/>
    <w:rsid w:val="003C03AF"/>
    <w:rsid w:val="003C109B"/>
    <w:rsid w:val="003C2790"/>
    <w:rsid w:val="003C27AE"/>
    <w:rsid w:val="003C3037"/>
    <w:rsid w:val="003C3310"/>
    <w:rsid w:val="003C42D6"/>
    <w:rsid w:val="003C4692"/>
    <w:rsid w:val="003C53E8"/>
    <w:rsid w:val="003C5906"/>
    <w:rsid w:val="003C6DF2"/>
    <w:rsid w:val="003C6F25"/>
    <w:rsid w:val="003C78A9"/>
    <w:rsid w:val="003D0E38"/>
    <w:rsid w:val="003D2179"/>
    <w:rsid w:val="003D2F41"/>
    <w:rsid w:val="003D362B"/>
    <w:rsid w:val="003D37EE"/>
    <w:rsid w:val="003D3CC7"/>
    <w:rsid w:val="003D40E9"/>
    <w:rsid w:val="003D44AD"/>
    <w:rsid w:val="003D542F"/>
    <w:rsid w:val="003D56B7"/>
    <w:rsid w:val="003D628A"/>
    <w:rsid w:val="003D673A"/>
    <w:rsid w:val="003D6A94"/>
    <w:rsid w:val="003E0371"/>
    <w:rsid w:val="003E0A9D"/>
    <w:rsid w:val="003E175A"/>
    <w:rsid w:val="003E1EEF"/>
    <w:rsid w:val="003E21EE"/>
    <w:rsid w:val="003E2742"/>
    <w:rsid w:val="003E289D"/>
    <w:rsid w:val="003E4630"/>
    <w:rsid w:val="003E503A"/>
    <w:rsid w:val="003E5B04"/>
    <w:rsid w:val="003E5D37"/>
    <w:rsid w:val="003E7134"/>
    <w:rsid w:val="003E7672"/>
    <w:rsid w:val="003F0C96"/>
    <w:rsid w:val="003F1D49"/>
    <w:rsid w:val="003F23B9"/>
    <w:rsid w:val="003F2444"/>
    <w:rsid w:val="003F2FA2"/>
    <w:rsid w:val="003F692F"/>
    <w:rsid w:val="003F7428"/>
    <w:rsid w:val="003F7FA4"/>
    <w:rsid w:val="00400E0A"/>
    <w:rsid w:val="00403BC5"/>
    <w:rsid w:val="00404592"/>
    <w:rsid w:val="00404FE9"/>
    <w:rsid w:val="00405406"/>
    <w:rsid w:val="00406C9C"/>
    <w:rsid w:val="0041613B"/>
    <w:rsid w:val="00420968"/>
    <w:rsid w:val="00421248"/>
    <w:rsid w:val="00422F77"/>
    <w:rsid w:val="00423FCB"/>
    <w:rsid w:val="00424289"/>
    <w:rsid w:val="004245AC"/>
    <w:rsid w:val="0042473E"/>
    <w:rsid w:val="00425B65"/>
    <w:rsid w:val="004265FD"/>
    <w:rsid w:val="0042754F"/>
    <w:rsid w:val="0042798F"/>
    <w:rsid w:val="00427E03"/>
    <w:rsid w:val="00430389"/>
    <w:rsid w:val="00432CFD"/>
    <w:rsid w:val="0043335B"/>
    <w:rsid w:val="004339F1"/>
    <w:rsid w:val="00434E74"/>
    <w:rsid w:val="0043602B"/>
    <w:rsid w:val="00437F83"/>
    <w:rsid w:val="004401B1"/>
    <w:rsid w:val="004414AB"/>
    <w:rsid w:val="00441B05"/>
    <w:rsid w:val="00442435"/>
    <w:rsid w:val="004424B7"/>
    <w:rsid w:val="00444257"/>
    <w:rsid w:val="004479B7"/>
    <w:rsid w:val="00450AF2"/>
    <w:rsid w:val="00450B46"/>
    <w:rsid w:val="004515E8"/>
    <w:rsid w:val="0045222C"/>
    <w:rsid w:val="0045336C"/>
    <w:rsid w:val="0045381B"/>
    <w:rsid w:val="00454DF5"/>
    <w:rsid w:val="004561CE"/>
    <w:rsid w:val="004564F7"/>
    <w:rsid w:val="00456530"/>
    <w:rsid w:val="004565BD"/>
    <w:rsid w:val="0045711B"/>
    <w:rsid w:val="004576C5"/>
    <w:rsid w:val="004576C6"/>
    <w:rsid w:val="004602C1"/>
    <w:rsid w:val="00461C36"/>
    <w:rsid w:val="00461D7D"/>
    <w:rsid w:val="004628C6"/>
    <w:rsid w:val="004629D9"/>
    <w:rsid w:val="00462B02"/>
    <w:rsid w:val="00463193"/>
    <w:rsid w:val="00464DD9"/>
    <w:rsid w:val="0046668C"/>
    <w:rsid w:val="00466CEF"/>
    <w:rsid w:val="00470DE0"/>
    <w:rsid w:val="00471543"/>
    <w:rsid w:val="004717CD"/>
    <w:rsid w:val="004720AF"/>
    <w:rsid w:val="0047289C"/>
    <w:rsid w:val="00473D9A"/>
    <w:rsid w:val="004745D9"/>
    <w:rsid w:val="00474CA9"/>
    <w:rsid w:val="004754FD"/>
    <w:rsid w:val="00476367"/>
    <w:rsid w:val="0047691B"/>
    <w:rsid w:val="00480B9A"/>
    <w:rsid w:val="00481F7F"/>
    <w:rsid w:val="00483528"/>
    <w:rsid w:val="00483A49"/>
    <w:rsid w:val="00484507"/>
    <w:rsid w:val="00485FA5"/>
    <w:rsid w:val="004862CA"/>
    <w:rsid w:val="004867A7"/>
    <w:rsid w:val="00486C21"/>
    <w:rsid w:val="00487787"/>
    <w:rsid w:val="00490FD1"/>
    <w:rsid w:val="00491459"/>
    <w:rsid w:val="00492047"/>
    <w:rsid w:val="0049302D"/>
    <w:rsid w:val="00493235"/>
    <w:rsid w:val="00494B46"/>
    <w:rsid w:val="00495D81"/>
    <w:rsid w:val="0049680E"/>
    <w:rsid w:val="00496A52"/>
    <w:rsid w:val="0049776A"/>
    <w:rsid w:val="00497D93"/>
    <w:rsid w:val="004A0385"/>
    <w:rsid w:val="004A0C20"/>
    <w:rsid w:val="004A181F"/>
    <w:rsid w:val="004A22FB"/>
    <w:rsid w:val="004A2696"/>
    <w:rsid w:val="004A3E1C"/>
    <w:rsid w:val="004A4E84"/>
    <w:rsid w:val="004A5720"/>
    <w:rsid w:val="004A5D71"/>
    <w:rsid w:val="004A63A7"/>
    <w:rsid w:val="004A695F"/>
    <w:rsid w:val="004A6AAD"/>
    <w:rsid w:val="004A7133"/>
    <w:rsid w:val="004A77E9"/>
    <w:rsid w:val="004A7DAF"/>
    <w:rsid w:val="004B12B2"/>
    <w:rsid w:val="004B14E2"/>
    <w:rsid w:val="004B2418"/>
    <w:rsid w:val="004B458E"/>
    <w:rsid w:val="004B4830"/>
    <w:rsid w:val="004B4C1E"/>
    <w:rsid w:val="004B58FB"/>
    <w:rsid w:val="004B6394"/>
    <w:rsid w:val="004B7563"/>
    <w:rsid w:val="004B7B5C"/>
    <w:rsid w:val="004C11B9"/>
    <w:rsid w:val="004C1EF2"/>
    <w:rsid w:val="004C1F9D"/>
    <w:rsid w:val="004C4434"/>
    <w:rsid w:val="004C4E74"/>
    <w:rsid w:val="004C5037"/>
    <w:rsid w:val="004C790F"/>
    <w:rsid w:val="004D034E"/>
    <w:rsid w:val="004D0B62"/>
    <w:rsid w:val="004D24EC"/>
    <w:rsid w:val="004D294D"/>
    <w:rsid w:val="004D2B43"/>
    <w:rsid w:val="004D3A8E"/>
    <w:rsid w:val="004D4235"/>
    <w:rsid w:val="004D5953"/>
    <w:rsid w:val="004D5E84"/>
    <w:rsid w:val="004D6A66"/>
    <w:rsid w:val="004E05B0"/>
    <w:rsid w:val="004E09EE"/>
    <w:rsid w:val="004E25EC"/>
    <w:rsid w:val="004E4309"/>
    <w:rsid w:val="004E5DBA"/>
    <w:rsid w:val="004E693F"/>
    <w:rsid w:val="004E6C91"/>
    <w:rsid w:val="004F0F68"/>
    <w:rsid w:val="004F12CB"/>
    <w:rsid w:val="004F308F"/>
    <w:rsid w:val="004F36FB"/>
    <w:rsid w:val="004F3E5D"/>
    <w:rsid w:val="004F4BF8"/>
    <w:rsid w:val="004F53BE"/>
    <w:rsid w:val="004F6045"/>
    <w:rsid w:val="004F6C4E"/>
    <w:rsid w:val="004F7109"/>
    <w:rsid w:val="004F73C0"/>
    <w:rsid w:val="004F7844"/>
    <w:rsid w:val="004F7C1F"/>
    <w:rsid w:val="005017EB"/>
    <w:rsid w:val="00502AA5"/>
    <w:rsid w:val="005060CF"/>
    <w:rsid w:val="00506393"/>
    <w:rsid w:val="005067B2"/>
    <w:rsid w:val="0050752E"/>
    <w:rsid w:val="00507C6F"/>
    <w:rsid w:val="00507EAF"/>
    <w:rsid w:val="00510C9F"/>
    <w:rsid w:val="00511154"/>
    <w:rsid w:val="00511291"/>
    <w:rsid w:val="00511A2A"/>
    <w:rsid w:val="00511DA5"/>
    <w:rsid w:val="0051241A"/>
    <w:rsid w:val="00512BCE"/>
    <w:rsid w:val="00514F0F"/>
    <w:rsid w:val="00515D25"/>
    <w:rsid w:val="00515FE4"/>
    <w:rsid w:val="00516D08"/>
    <w:rsid w:val="00516D9B"/>
    <w:rsid w:val="00517A82"/>
    <w:rsid w:val="0052135C"/>
    <w:rsid w:val="005216E0"/>
    <w:rsid w:val="00521FB5"/>
    <w:rsid w:val="00522D55"/>
    <w:rsid w:val="0052518A"/>
    <w:rsid w:val="00525D0A"/>
    <w:rsid w:val="0052708B"/>
    <w:rsid w:val="00527330"/>
    <w:rsid w:val="00527648"/>
    <w:rsid w:val="00527DD4"/>
    <w:rsid w:val="005303D0"/>
    <w:rsid w:val="00530B8E"/>
    <w:rsid w:val="005316F6"/>
    <w:rsid w:val="00531E18"/>
    <w:rsid w:val="0053230F"/>
    <w:rsid w:val="00532D50"/>
    <w:rsid w:val="005339F1"/>
    <w:rsid w:val="00533F6E"/>
    <w:rsid w:val="00534BD9"/>
    <w:rsid w:val="00534EC6"/>
    <w:rsid w:val="00535777"/>
    <w:rsid w:val="00535F6D"/>
    <w:rsid w:val="00536851"/>
    <w:rsid w:val="00537073"/>
    <w:rsid w:val="005373B3"/>
    <w:rsid w:val="00537FEE"/>
    <w:rsid w:val="005400F1"/>
    <w:rsid w:val="005402F2"/>
    <w:rsid w:val="00540A2A"/>
    <w:rsid w:val="00540D97"/>
    <w:rsid w:val="00541075"/>
    <w:rsid w:val="00544C13"/>
    <w:rsid w:val="00545A72"/>
    <w:rsid w:val="0054648B"/>
    <w:rsid w:val="005505D1"/>
    <w:rsid w:val="0055103F"/>
    <w:rsid w:val="00551C1E"/>
    <w:rsid w:val="005524DA"/>
    <w:rsid w:val="0055259D"/>
    <w:rsid w:val="00552795"/>
    <w:rsid w:val="00552B77"/>
    <w:rsid w:val="00553B08"/>
    <w:rsid w:val="0055479A"/>
    <w:rsid w:val="00554931"/>
    <w:rsid w:val="0055511E"/>
    <w:rsid w:val="00562610"/>
    <w:rsid w:val="00562E8B"/>
    <w:rsid w:val="00563941"/>
    <w:rsid w:val="0056489C"/>
    <w:rsid w:val="00564A28"/>
    <w:rsid w:val="00564F2D"/>
    <w:rsid w:val="00566163"/>
    <w:rsid w:val="00566379"/>
    <w:rsid w:val="005668BB"/>
    <w:rsid w:val="00566C10"/>
    <w:rsid w:val="00567287"/>
    <w:rsid w:val="00567671"/>
    <w:rsid w:val="0057257E"/>
    <w:rsid w:val="00572E40"/>
    <w:rsid w:val="0057456C"/>
    <w:rsid w:val="00574FA0"/>
    <w:rsid w:val="00575102"/>
    <w:rsid w:val="00576066"/>
    <w:rsid w:val="005771D5"/>
    <w:rsid w:val="00577AC4"/>
    <w:rsid w:val="00580D26"/>
    <w:rsid w:val="00580F4C"/>
    <w:rsid w:val="00580F52"/>
    <w:rsid w:val="00581EA3"/>
    <w:rsid w:val="005827AF"/>
    <w:rsid w:val="00582E4C"/>
    <w:rsid w:val="00582FBC"/>
    <w:rsid w:val="00586BCC"/>
    <w:rsid w:val="00586E32"/>
    <w:rsid w:val="00591D95"/>
    <w:rsid w:val="005929D1"/>
    <w:rsid w:val="00592AEB"/>
    <w:rsid w:val="00592CB6"/>
    <w:rsid w:val="00594298"/>
    <w:rsid w:val="0059515D"/>
    <w:rsid w:val="005968BA"/>
    <w:rsid w:val="005A03E5"/>
    <w:rsid w:val="005A2746"/>
    <w:rsid w:val="005A2D89"/>
    <w:rsid w:val="005A2F07"/>
    <w:rsid w:val="005A3685"/>
    <w:rsid w:val="005A4FAD"/>
    <w:rsid w:val="005A57FF"/>
    <w:rsid w:val="005A64EB"/>
    <w:rsid w:val="005A6500"/>
    <w:rsid w:val="005A7835"/>
    <w:rsid w:val="005B053D"/>
    <w:rsid w:val="005B07AC"/>
    <w:rsid w:val="005B0F76"/>
    <w:rsid w:val="005B1C0A"/>
    <w:rsid w:val="005B2821"/>
    <w:rsid w:val="005B3199"/>
    <w:rsid w:val="005B3738"/>
    <w:rsid w:val="005B5725"/>
    <w:rsid w:val="005B5DC2"/>
    <w:rsid w:val="005B6253"/>
    <w:rsid w:val="005B64FA"/>
    <w:rsid w:val="005B716D"/>
    <w:rsid w:val="005B7DD9"/>
    <w:rsid w:val="005C0737"/>
    <w:rsid w:val="005C0A98"/>
    <w:rsid w:val="005C194F"/>
    <w:rsid w:val="005C204A"/>
    <w:rsid w:val="005C2889"/>
    <w:rsid w:val="005C2ED7"/>
    <w:rsid w:val="005C40DB"/>
    <w:rsid w:val="005C48D1"/>
    <w:rsid w:val="005C49FA"/>
    <w:rsid w:val="005C4A33"/>
    <w:rsid w:val="005C5746"/>
    <w:rsid w:val="005C5942"/>
    <w:rsid w:val="005C5FB7"/>
    <w:rsid w:val="005C65B3"/>
    <w:rsid w:val="005C6600"/>
    <w:rsid w:val="005C6AE6"/>
    <w:rsid w:val="005C7E54"/>
    <w:rsid w:val="005C7FC4"/>
    <w:rsid w:val="005D014D"/>
    <w:rsid w:val="005D016E"/>
    <w:rsid w:val="005D025A"/>
    <w:rsid w:val="005D10D5"/>
    <w:rsid w:val="005D1186"/>
    <w:rsid w:val="005D181E"/>
    <w:rsid w:val="005D2052"/>
    <w:rsid w:val="005D430F"/>
    <w:rsid w:val="005D4B88"/>
    <w:rsid w:val="005D5285"/>
    <w:rsid w:val="005D5A93"/>
    <w:rsid w:val="005D5EFE"/>
    <w:rsid w:val="005D62B0"/>
    <w:rsid w:val="005D6F7D"/>
    <w:rsid w:val="005D7C8E"/>
    <w:rsid w:val="005E17CF"/>
    <w:rsid w:val="005E3168"/>
    <w:rsid w:val="005E35F3"/>
    <w:rsid w:val="005E3CB1"/>
    <w:rsid w:val="005E51C6"/>
    <w:rsid w:val="005E66A4"/>
    <w:rsid w:val="005E677C"/>
    <w:rsid w:val="005E67F4"/>
    <w:rsid w:val="005E6B70"/>
    <w:rsid w:val="005E6E03"/>
    <w:rsid w:val="005F0764"/>
    <w:rsid w:val="005F1670"/>
    <w:rsid w:val="005F1DCB"/>
    <w:rsid w:val="005F2ED3"/>
    <w:rsid w:val="005F3747"/>
    <w:rsid w:val="005F4006"/>
    <w:rsid w:val="005F461C"/>
    <w:rsid w:val="005F7DDD"/>
    <w:rsid w:val="005F7F42"/>
    <w:rsid w:val="00600191"/>
    <w:rsid w:val="006003D4"/>
    <w:rsid w:val="006005B4"/>
    <w:rsid w:val="006015BB"/>
    <w:rsid w:val="00601B7E"/>
    <w:rsid w:val="00601C9C"/>
    <w:rsid w:val="006028EA"/>
    <w:rsid w:val="00604F9B"/>
    <w:rsid w:val="006061F4"/>
    <w:rsid w:val="006063B5"/>
    <w:rsid w:val="00607285"/>
    <w:rsid w:val="00607C6C"/>
    <w:rsid w:val="00610DDA"/>
    <w:rsid w:val="00614959"/>
    <w:rsid w:val="006166F6"/>
    <w:rsid w:val="0061701A"/>
    <w:rsid w:val="006173A5"/>
    <w:rsid w:val="0061758F"/>
    <w:rsid w:val="0062042F"/>
    <w:rsid w:val="00620F95"/>
    <w:rsid w:val="00622D61"/>
    <w:rsid w:val="00623574"/>
    <w:rsid w:val="006240A8"/>
    <w:rsid w:val="00625530"/>
    <w:rsid w:val="006260FF"/>
    <w:rsid w:val="00626AC1"/>
    <w:rsid w:val="00627433"/>
    <w:rsid w:val="00627EF0"/>
    <w:rsid w:val="006302E2"/>
    <w:rsid w:val="006310D1"/>
    <w:rsid w:val="00631E01"/>
    <w:rsid w:val="00632299"/>
    <w:rsid w:val="0063240C"/>
    <w:rsid w:val="006325E0"/>
    <w:rsid w:val="00632D98"/>
    <w:rsid w:val="006341F1"/>
    <w:rsid w:val="0063464E"/>
    <w:rsid w:val="00634B1E"/>
    <w:rsid w:val="00635442"/>
    <w:rsid w:val="00636362"/>
    <w:rsid w:val="006405D0"/>
    <w:rsid w:val="00641CF6"/>
    <w:rsid w:val="00643482"/>
    <w:rsid w:val="00644A9D"/>
    <w:rsid w:val="00647F6C"/>
    <w:rsid w:val="006500B0"/>
    <w:rsid w:val="006514A9"/>
    <w:rsid w:val="00651E8F"/>
    <w:rsid w:val="00652673"/>
    <w:rsid w:val="0065448A"/>
    <w:rsid w:val="00655748"/>
    <w:rsid w:val="00656AFB"/>
    <w:rsid w:val="00656BB8"/>
    <w:rsid w:val="00657AF5"/>
    <w:rsid w:val="00660A7D"/>
    <w:rsid w:val="00662B2A"/>
    <w:rsid w:val="00662C8A"/>
    <w:rsid w:val="00664183"/>
    <w:rsid w:val="00664785"/>
    <w:rsid w:val="006656CB"/>
    <w:rsid w:val="00666543"/>
    <w:rsid w:val="006675AB"/>
    <w:rsid w:val="00667E9D"/>
    <w:rsid w:val="00671E20"/>
    <w:rsid w:val="00671F90"/>
    <w:rsid w:val="00672528"/>
    <w:rsid w:val="006726C8"/>
    <w:rsid w:val="00673882"/>
    <w:rsid w:val="00673C98"/>
    <w:rsid w:val="006747DF"/>
    <w:rsid w:val="00674F72"/>
    <w:rsid w:val="0067544E"/>
    <w:rsid w:val="006755DC"/>
    <w:rsid w:val="00676126"/>
    <w:rsid w:val="006762F5"/>
    <w:rsid w:val="00676942"/>
    <w:rsid w:val="006801D5"/>
    <w:rsid w:val="00680AEA"/>
    <w:rsid w:val="00682881"/>
    <w:rsid w:val="00683658"/>
    <w:rsid w:val="0068405E"/>
    <w:rsid w:val="00684088"/>
    <w:rsid w:val="00685B04"/>
    <w:rsid w:val="00685BDB"/>
    <w:rsid w:val="00687667"/>
    <w:rsid w:val="00687BBD"/>
    <w:rsid w:val="00690F20"/>
    <w:rsid w:val="0069317E"/>
    <w:rsid w:val="0069395F"/>
    <w:rsid w:val="00694D8C"/>
    <w:rsid w:val="006961C5"/>
    <w:rsid w:val="006971C2"/>
    <w:rsid w:val="0069747B"/>
    <w:rsid w:val="00697ABC"/>
    <w:rsid w:val="006A03A9"/>
    <w:rsid w:val="006A0800"/>
    <w:rsid w:val="006A2186"/>
    <w:rsid w:val="006A27E9"/>
    <w:rsid w:val="006A313B"/>
    <w:rsid w:val="006A31C0"/>
    <w:rsid w:val="006A36DC"/>
    <w:rsid w:val="006A38E6"/>
    <w:rsid w:val="006A38FE"/>
    <w:rsid w:val="006A45A6"/>
    <w:rsid w:val="006A4EBD"/>
    <w:rsid w:val="006A6F20"/>
    <w:rsid w:val="006B1749"/>
    <w:rsid w:val="006B196D"/>
    <w:rsid w:val="006B209A"/>
    <w:rsid w:val="006B36CE"/>
    <w:rsid w:val="006B3803"/>
    <w:rsid w:val="006B5071"/>
    <w:rsid w:val="006B5177"/>
    <w:rsid w:val="006B5D51"/>
    <w:rsid w:val="006B61EE"/>
    <w:rsid w:val="006C031C"/>
    <w:rsid w:val="006C032A"/>
    <w:rsid w:val="006C1AD4"/>
    <w:rsid w:val="006C1CFD"/>
    <w:rsid w:val="006C1D2E"/>
    <w:rsid w:val="006C2FC2"/>
    <w:rsid w:val="006C47CB"/>
    <w:rsid w:val="006C4876"/>
    <w:rsid w:val="006C4B2D"/>
    <w:rsid w:val="006C568F"/>
    <w:rsid w:val="006C7AE8"/>
    <w:rsid w:val="006D0035"/>
    <w:rsid w:val="006D0A7D"/>
    <w:rsid w:val="006D27A5"/>
    <w:rsid w:val="006D3769"/>
    <w:rsid w:val="006D3E1F"/>
    <w:rsid w:val="006D4006"/>
    <w:rsid w:val="006D46E5"/>
    <w:rsid w:val="006D55EE"/>
    <w:rsid w:val="006D5BA0"/>
    <w:rsid w:val="006D5C00"/>
    <w:rsid w:val="006D6807"/>
    <w:rsid w:val="006D7E11"/>
    <w:rsid w:val="006E15F0"/>
    <w:rsid w:val="006E1C00"/>
    <w:rsid w:val="006E2216"/>
    <w:rsid w:val="006E2F15"/>
    <w:rsid w:val="006E3022"/>
    <w:rsid w:val="006E3038"/>
    <w:rsid w:val="006E3390"/>
    <w:rsid w:val="006E36F8"/>
    <w:rsid w:val="006E389E"/>
    <w:rsid w:val="006E3F28"/>
    <w:rsid w:val="006E465B"/>
    <w:rsid w:val="006E4CB3"/>
    <w:rsid w:val="006E590D"/>
    <w:rsid w:val="006F0920"/>
    <w:rsid w:val="006F1658"/>
    <w:rsid w:val="006F2DBF"/>
    <w:rsid w:val="006F433C"/>
    <w:rsid w:val="006F43C2"/>
    <w:rsid w:val="006F52E3"/>
    <w:rsid w:val="006F5720"/>
    <w:rsid w:val="006F57AF"/>
    <w:rsid w:val="006F78DA"/>
    <w:rsid w:val="006F7F3D"/>
    <w:rsid w:val="00700F4F"/>
    <w:rsid w:val="00701BD1"/>
    <w:rsid w:val="00701BED"/>
    <w:rsid w:val="00702B37"/>
    <w:rsid w:val="00704405"/>
    <w:rsid w:val="00705295"/>
    <w:rsid w:val="0071128E"/>
    <w:rsid w:val="00711B8E"/>
    <w:rsid w:val="00711FCC"/>
    <w:rsid w:val="00712780"/>
    <w:rsid w:val="00712C39"/>
    <w:rsid w:val="00712DCD"/>
    <w:rsid w:val="00713182"/>
    <w:rsid w:val="00713FD6"/>
    <w:rsid w:val="00714EF2"/>
    <w:rsid w:val="00715CAB"/>
    <w:rsid w:val="00715E7B"/>
    <w:rsid w:val="0071636D"/>
    <w:rsid w:val="00717F00"/>
    <w:rsid w:val="007229EC"/>
    <w:rsid w:val="00722A47"/>
    <w:rsid w:val="00727773"/>
    <w:rsid w:val="00727C68"/>
    <w:rsid w:val="00727E93"/>
    <w:rsid w:val="00730449"/>
    <w:rsid w:val="00730D3F"/>
    <w:rsid w:val="0073266E"/>
    <w:rsid w:val="00733B24"/>
    <w:rsid w:val="007362BA"/>
    <w:rsid w:val="00736548"/>
    <w:rsid w:val="007366DA"/>
    <w:rsid w:val="00736FBD"/>
    <w:rsid w:val="00741B35"/>
    <w:rsid w:val="007423CD"/>
    <w:rsid w:val="0074271D"/>
    <w:rsid w:val="00742DB6"/>
    <w:rsid w:val="00742FCC"/>
    <w:rsid w:val="007444BB"/>
    <w:rsid w:val="00744DD7"/>
    <w:rsid w:val="00745F32"/>
    <w:rsid w:val="00747E19"/>
    <w:rsid w:val="007522CE"/>
    <w:rsid w:val="007524E4"/>
    <w:rsid w:val="00752877"/>
    <w:rsid w:val="00752F3E"/>
    <w:rsid w:val="0075368B"/>
    <w:rsid w:val="00753990"/>
    <w:rsid w:val="0075544C"/>
    <w:rsid w:val="00755579"/>
    <w:rsid w:val="00755E55"/>
    <w:rsid w:val="00756A0F"/>
    <w:rsid w:val="0076011D"/>
    <w:rsid w:val="007617C3"/>
    <w:rsid w:val="0076233F"/>
    <w:rsid w:val="007629E8"/>
    <w:rsid w:val="007644E0"/>
    <w:rsid w:val="00764872"/>
    <w:rsid w:val="00764F69"/>
    <w:rsid w:val="00765A3D"/>
    <w:rsid w:val="00766758"/>
    <w:rsid w:val="0076698B"/>
    <w:rsid w:val="00767B26"/>
    <w:rsid w:val="00767B86"/>
    <w:rsid w:val="00770D73"/>
    <w:rsid w:val="0077125B"/>
    <w:rsid w:val="007714D3"/>
    <w:rsid w:val="0077171F"/>
    <w:rsid w:val="007732DC"/>
    <w:rsid w:val="00774141"/>
    <w:rsid w:val="00775878"/>
    <w:rsid w:val="00775D06"/>
    <w:rsid w:val="007767D8"/>
    <w:rsid w:val="0077744E"/>
    <w:rsid w:val="00777478"/>
    <w:rsid w:val="00780503"/>
    <w:rsid w:val="00780806"/>
    <w:rsid w:val="00780904"/>
    <w:rsid w:val="00780C63"/>
    <w:rsid w:val="007823F7"/>
    <w:rsid w:val="0078247B"/>
    <w:rsid w:val="00783126"/>
    <w:rsid w:val="0078331A"/>
    <w:rsid w:val="00783DAE"/>
    <w:rsid w:val="00784AF5"/>
    <w:rsid w:val="007855DE"/>
    <w:rsid w:val="00785AD6"/>
    <w:rsid w:val="00786340"/>
    <w:rsid w:val="00786559"/>
    <w:rsid w:val="00791780"/>
    <w:rsid w:val="007926E4"/>
    <w:rsid w:val="00793339"/>
    <w:rsid w:val="00794172"/>
    <w:rsid w:val="00796588"/>
    <w:rsid w:val="0079671E"/>
    <w:rsid w:val="007976FA"/>
    <w:rsid w:val="007A0620"/>
    <w:rsid w:val="007A0FB3"/>
    <w:rsid w:val="007A15B7"/>
    <w:rsid w:val="007A2364"/>
    <w:rsid w:val="007A2D3D"/>
    <w:rsid w:val="007A379D"/>
    <w:rsid w:val="007A59A3"/>
    <w:rsid w:val="007A5B9D"/>
    <w:rsid w:val="007A6ACE"/>
    <w:rsid w:val="007A7AB4"/>
    <w:rsid w:val="007B001A"/>
    <w:rsid w:val="007B170C"/>
    <w:rsid w:val="007B214B"/>
    <w:rsid w:val="007B3508"/>
    <w:rsid w:val="007B58FA"/>
    <w:rsid w:val="007B5D1B"/>
    <w:rsid w:val="007B64C6"/>
    <w:rsid w:val="007B6B50"/>
    <w:rsid w:val="007B6D8D"/>
    <w:rsid w:val="007B74FF"/>
    <w:rsid w:val="007B7D6B"/>
    <w:rsid w:val="007C0BDB"/>
    <w:rsid w:val="007C1A5C"/>
    <w:rsid w:val="007C41EA"/>
    <w:rsid w:val="007C421E"/>
    <w:rsid w:val="007C61DD"/>
    <w:rsid w:val="007C7309"/>
    <w:rsid w:val="007C77B9"/>
    <w:rsid w:val="007C7992"/>
    <w:rsid w:val="007D0BCE"/>
    <w:rsid w:val="007D0E27"/>
    <w:rsid w:val="007D23FE"/>
    <w:rsid w:val="007D2D3C"/>
    <w:rsid w:val="007D5B0E"/>
    <w:rsid w:val="007D5EDB"/>
    <w:rsid w:val="007D6B95"/>
    <w:rsid w:val="007D71D5"/>
    <w:rsid w:val="007E055F"/>
    <w:rsid w:val="007E0D69"/>
    <w:rsid w:val="007E0FAD"/>
    <w:rsid w:val="007E1BBE"/>
    <w:rsid w:val="007E38CF"/>
    <w:rsid w:val="007E3D5F"/>
    <w:rsid w:val="007E5151"/>
    <w:rsid w:val="007E5751"/>
    <w:rsid w:val="007F15FA"/>
    <w:rsid w:val="007F3C8E"/>
    <w:rsid w:val="007F3D8D"/>
    <w:rsid w:val="007F3DE0"/>
    <w:rsid w:val="007F5882"/>
    <w:rsid w:val="007F70FD"/>
    <w:rsid w:val="007F72C8"/>
    <w:rsid w:val="007F76E1"/>
    <w:rsid w:val="008002A6"/>
    <w:rsid w:val="00800D56"/>
    <w:rsid w:val="00802707"/>
    <w:rsid w:val="00804335"/>
    <w:rsid w:val="00805DB8"/>
    <w:rsid w:val="00806D8B"/>
    <w:rsid w:val="00807050"/>
    <w:rsid w:val="00813425"/>
    <w:rsid w:val="00814914"/>
    <w:rsid w:val="00814E8F"/>
    <w:rsid w:val="008154E0"/>
    <w:rsid w:val="008159C1"/>
    <w:rsid w:val="00816467"/>
    <w:rsid w:val="008172AC"/>
    <w:rsid w:val="008173A1"/>
    <w:rsid w:val="008176BA"/>
    <w:rsid w:val="00817D07"/>
    <w:rsid w:val="00820CA9"/>
    <w:rsid w:val="00822E7D"/>
    <w:rsid w:val="00822F04"/>
    <w:rsid w:val="00824FE9"/>
    <w:rsid w:val="00826C66"/>
    <w:rsid w:val="008271CD"/>
    <w:rsid w:val="00827C52"/>
    <w:rsid w:val="00827E3D"/>
    <w:rsid w:val="0083571E"/>
    <w:rsid w:val="0083599B"/>
    <w:rsid w:val="00835E91"/>
    <w:rsid w:val="00836ACB"/>
    <w:rsid w:val="00837AE7"/>
    <w:rsid w:val="0084092A"/>
    <w:rsid w:val="00842E13"/>
    <w:rsid w:val="00843396"/>
    <w:rsid w:val="008433A5"/>
    <w:rsid w:val="00843DBF"/>
    <w:rsid w:val="00844231"/>
    <w:rsid w:val="0084425C"/>
    <w:rsid w:val="00844AD1"/>
    <w:rsid w:val="008468EB"/>
    <w:rsid w:val="008505A3"/>
    <w:rsid w:val="00851636"/>
    <w:rsid w:val="00853D9F"/>
    <w:rsid w:val="00854AF9"/>
    <w:rsid w:val="008555D1"/>
    <w:rsid w:val="00855B6C"/>
    <w:rsid w:val="00855D95"/>
    <w:rsid w:val="00856AEF"/>
    <w:rsid w:val="00856E50"/>
    <w:rsid w:val="00857120"/>
    <w:rsid w:val="008603E2"/>
    <w:rsid w:val="00860A5F"/>
    <w:rsid w:val="00861892"/>
    <w:rsid w:val="00861C2A"/>
    <w:rsid w:val="00862710"/>
    <w:rsid w:val="00862B7E"/>
    <w:rsid w:val="00862E6F"/>
    <w:rsid w:val="00865699"/>
    <w:rsid w:val="00865A9D"/>
    <w:rsid w:val="00866192"/>
    <w:rsid w:val="00867125"/>
    <w:rsid w:val="0086724A"/>
    <w:rsid w:val="00867B3B"/>
    <w:rsid w:val="00867F03"/>
    <w:rsid w:val="00867F8A"/>
    <w:rsid w:val="00872D07"/>
    <w:rsid w:val="00873241"/>
    <w:rsid w:val="00874C57"/>
    <w:rsid w:val="00875291"/>
    <w:rsid w:val="00875517"/>
    <w:rsid w:val="00876561"/>
    <w:rsid w:val="0087690C"/>
    <w:rsid w:val="008771BA"/>
    <w:rsid w:val="00877D20"/>
    <w:rsid w:val="00880F59"/>
    <w:rsid w:val="00881301"/>
    <w:rsid w:val="008829D3"/>
    <w:rsid w:val="00885EE4"/>
    <w:rsid w:val="008869C3"/>
    <w:rsid w:val="00887837"/>
    <w:rsid w:val="00887F93"/>
    <w:rsid w:val="008901C1"/>
    <w:rsid w:val="00890564"/>
    <w:rsid w:val="00890598"/>
    <w:rsid w:val="0089088C"/>
    <w:rsid w:val="00891B65"/>
    <w:rsid w:val="00891F51"/>
    <w:rsid w:val="00892DB1"/>
    <w:rsid w:val="00893045"/>
    <w:rsid w:val="008950B9"/>
    <w:rsid w:val="00895488"/>
    <w:rsid w:val="00895F3E"/>
    <w:rsid w:val="008976A9"/>
    <w:rsid w:val="008A0AE5"/>
    <w:rsid w:val="008A0FFF"/>
    <w:rsid w:val="008A1434"/>
    <w:rsid w:val="008A25D1"/>
    <w:rsid w:val="008A2EDF"/>
    <w:rsid w:val="008A41BF"/>
    <w:rsid w:val="008A64F7"/>
    <w:rsid w:val="008A7644"/>
    <w:rsid w:val="008A7D09"/>
    <w:rsid w:val="008B04A4"/>
    <w:rsid w:val="008B0643"/>
    <w:rsid w:val="008B0AFB"/>
    <w:rsid w:val="008B3584"/>
    <w:rsid w:val="008B417A"/>
    <w:rsid w:val="008B4A1C"/>
    <w:rsid w:val="008B5B90"/>
    <w:rsid w:val="008B6C3B"/>
    <w:rsid w:val="008B729F"/>
    <w:rsid w:val="008B7E12"/>
    <w:rsid w:val="008C0B1A"/>
    <w:rsid w:val="008C58ED"/>
    <w:rsid w:val="008C7DC5"/>
    <w:rsid w:val="008D1992"/>
    <w:rsid w:val="008D23D2"/>
    <w:rsid w:val="008D23F9"/>
    <w:rsid w:val="008D541C"/>
    <w:rsid w:val="008D54FE"/>
    <w:rsid w:val="008D7A93"/>
    <w:rsid w:val="008D7B54"/>
    <w:rsid w:val="008E04AB"/>
    <w:rsid w:val="008E234A"/>
    <w:rsid w:val="008E2CC5"/>
    <w:rsid w:val="008E4A61"/>
    <w:rsid w:val="008E4B83"/>
    <w:rsid w:val="008E5945"/>
    <w:rsid w:val="008E5A41"/>
    <w:rsid w:val="008E6002"/>
    <w:rsid w:val="008E7C3E"/>
    <w:rsid w:val="008F12E6"/>
    <w:rsid w:val="008F1910"/>
    <w:rsid w:val="008F3557"/>
    <w:rsid w:val="008F390A"/>
    <w:rsid w:val="008F4325"/>
    <w:rsid w:val="008F43A0"/>
    <w:rsid w:val="008F4AB0"/>
    <w:rsid w:val="008F5096"/>
    <w:rsid w:val="0090052A"/>
    <w:rsid w:val="00901254"/>
    <w:rsid w:val="00901CFA"/>
    <w:rsid w:val="00904A35"/>
    <w:rsid w:val="00904D69"/>
    <w:rsid w:val="00906E73"/>
    <w:rsid w:val="0091065B"/>
    <w:rsid w:val="00910761"/>
    <w:rsid w:val="009120D8"/>
    <w:rsid w:val="00914369"/>
    <w:rsid w:val="009143AE"/>
    <w:rsid w:val="00915E16"/>
    <w:rsid w:val="009162D6"/>
    <w:rsid w:val="00917453"/>
    <w:rsid w:val="00920752"/>
    <w:rsid w:val="00920940"/>
    <w:rsid w:val="009212C9"/>
    <w:rsid w:val="009228DB"/>
    <w:rsid w:val="009244E1"/>
    <w:rsid w:val="00924BAC"/>
    <w:rsid w:val="00925485"/>
    <w:rsid w:val="0092594A"/>
    <w:rsid w:val="00925A14"/>
    <w:rsid w:val="00926472"/>
    <w:rsid w:val="00931D57"/>
    <w:rsid w:val="0093290A"/>
    <w:rsid w:val="00933613"/>
    <w:rsid w:val="00934455"/>
    <w:rsid w:val="00934A48"/>
    <w:rsid w:val="00935AF8"/>
    <w:rsid w:val="00936C2F"/>
    <w:rsid w:val="009379AF"/>
    <w:rsid w:val="00937DB4"/>
    <w:rsid w:val="00940C10"/>
    <w:rsid w:val="009416A9"/>
    <w:rsid w:val="009417DE"/>
    <w:rsid w:val="00943257"/>
    <w:rsid w:val="00943C5C"/>
    <w:rsid w:val="009443EE"/>
    <w:rsid w:val="00946B43"/>
    <w:rsid w:val="00946D1C"/>
    <w:rsid w:val="00946F5D"/>
    <w:rsid w:val="00947895"/>
    <w:rsid w:val="00951615"/>
    <w:rsid w:val="00951B77"/>
    <w:rsid w:val="00953FDA"/>
    <w:rsid w:val="009548F3"/>
    <w:rsid w:val="00955431"/>
    <w:rsid w:val="0095647C"/>
    <w:rsid w:val="009565EA"/>
    <w:rsid w:val="00957824"/>
    <w:rsid w:val="00957DC4"/>
    <w:rsid w:val="00957F19"/>
    <w:rsid w:val="009606F6"/>
    <w:rsid w:val="00960772"/>
    <w:rsid w:val="00960C8A"/>
    <w:rsid w:val="0096149E"/>
    <w:rsid w:val="00961693"/>
    <w:rsid w:val="00963ABF"/>
    <w:rsid w:val="00965593"/>
    <w:rsid w:val="00965AA0"/>
    <w:rsid w:val="00966432"/>
    <w:rsid w:val="00970624"/>
    <w:rsid w:val="00970D3A"/>
    <w:rsid w:val="00972B5F"/>
    <w:rsid w:val="00973A02"/>
    <w:rsid w:val="00973B80"/>
    <w:rsid w:val="009741E0"/>
    <w:rsid w:val="00974686"/>
    <w:rsid w:val="00976A1A"/>
    <w:rsid w:val="00980564"/>
    <w:rsid w:val="00980EB5"/>
    <w:rsid w:val="00982093"/>
    <w:rsid w:val="00983A52"/>
    <w:rsid w:val="0098464D"/>
    <w:rsid w:val="00984EB9"/>
    <w:rsid w:val="00984ED0"/>
    <w:rsid w:val="009863E3"/>
    <w:rsid w:val="0098644D"/>
    <w:rsid w:val="0098671E"/>
    <w:rsid w:val="0098722C"/>
    <w:rsid w:val="009872CB"/>
    <w:rsid w:val="00987D48"/>
    <w:rsid w:val="009904A2"/>
    <w:rsid w:val="00993059"/>
    <w:rsid w:val="00993B30"/>
    <w:rsid w:val="0099433E"/>
    <w:rsid w:val="0099563E"/>
    <w:rsid w:val="00995E49"/>
    <w:rsid w:val="009977C2"/>
    <w:rsid w:val="009A0F5D"/>
    <w:rsid w:val="009A2B83"/>
    <w:rsid w:val="009A2C79"/>
    <w:rsid w:val="009A2CC8"/>
    <w:rsid w:val="009A2F83"/>
    <w:rsid w:val="009A4324"/>
    <w:rsid w:val="009A4E20"/>
    <w:rsid w:val="009A5390"/>
    <w:rsid w:val="009A6597"/>
    <w:rsid w:val="009A69FD"/>
    <w:rsid w:val="009B01C3"/>
    <w:rsid w:val="009B05D2"/>
    <w:rsid w:val="009B0BA7"/>
    <w:rsid w:val="009B1361"/>
    <w:rsid w:val="009B18A0"/>
    <w:rsid w:val="009B2DB7"/>
    <w:rsid w:val="009B45AC"/>
    <w:rsid w:val="009B4613"/>
    <w:rsid w:val="009B6486"/>
    <w:rsid w:val="009B7430"/>
    <w:rsid w:val="009C02EC"/>
    <w:rsid w:val="009C0C24"/>
    <w:rsid w:val="009C1568"/>
    <w:rsid w:val="009C346F"/>
    <w:rsid w:val="009C4466"/>
    <w:rsid w:val="009C4B24"/>
    <w:rsid w:val="009C7BEB"/>
    <w:rsid w:val="009D20B7"/>
    <w:rsid w:val="009D4AFD"/>
    <w:rsid w:val="009D4BB6"/>
    <w:rsid w:val="009D5494"/>
    <w:rsid w:val="009D551D"/>
    <w:rsid w:val="009D73E4"/>
    <w:rsid w:val="009E08E0"/>
    <w:rsid w:val="009E1113"/>
    <w:rsid w:val="009E2096"/>
    <w:rsid w:val="009E3D3C"/>
    <w:rsid w:val="009E466C"/>
    <w:rsid w:val="009E4C95"/>
    <w:rsid w:val="009E6612"/>
    <w:rsid w:val="009E6CAA"/>
    <w:rsid w:val="009E770C"/>
    <w:rsid w:val="009F2123"/>
    <w:rsid w:val="009F3582"/>
    <w:rsid w:val="009F3B03"/>
    <w:rsid w:val="009F5805"/>
    <w:rsid w:val="009F5F46"/>
    <w:rsid w:val="009F758A"/>
    <w:rsid w:val="009F770F"/>
    <w:rsid w:val="00A00356"/>
    <w:rsid w:val="00A021B4"/>
    <w:rsid w:val="00A031BB"/>
    <w:rsid w:val="00A03861"/>
    <w:rsid w:val="00A04007"/>
    <w:rsid w:val="00A04ACC"/>
    <w:rsid w:val="00A04EE4"/>
    <w:rsid w:val="00A06018"/>
    <w:rsid w:val="00A06309"/>
    <w:rsid w:val="00A0674A"/>
    <w:rsid w:val="00A079B7"/>
    <w:rsid w:val="00A10109"/>
    <w:rsid w:val="00A10DEC"/>
    <w:rsid w:val="00A1196D"/>
    <w:rsid w:val="00A125F0"/>
    <w:rsid w:val="00A13C19"/>
    <w:rsid w:val="00A14474"/>
    <w:rsid w:val="00A144A2"/>
    <w:rsid w:val="00A1484F"/>
    <w:rsid w:val="00A1784F"/>
    <w:rsid w:val="00A2002D"/>
    <w:rsid w:val="00A20F14"/>
    <w:rsid w:val="00A21253"/>
    <w:rsid w:val="00A221AA"/>
    <w:rsid w:val="00A231EF"/>
    <w:rsid w:val="00A23689"/>
    <w:rsid w:val="00A238F5"/>
    <w:rsid w:val="00A2535B"/>
    <w:rsid w:val="00A25780"/>
    <w:rsid w:val="00A25B53"/>
    <w:rsid w:val="00A265CE"/>
    <w:rsid w:val="00A269D5"/>
    <w:rsid w:val="00A27B07"/>
    <w:rsid w:val="00A27E7F"/>
    <w:rsid w:val="00A308B5"/>
    <w:rsid w:val="00A31264"/>
    <w:rsid w:val="00A3133F"/>
    <w:rsid w:val="00A32562"/>
    <w:rsid w:val="00A353C4"/>
    <w:rsid w:val="00A371A6"/>
    <w:rsid w:val="00A37C6E"/>
    <w:rsid w:val="00A37FA8"/>
    <w:rsid w:val="00A40314"/>
    <w:rsid w:val="00A40631"/>
    <w:rsid w:val="00A41062"/>
    <w:rsid w:val="00A414A3"/>
    <w:rsid w:val="00A41B0A"/>
    <w:rsid w:val="00A444A2"/>
    <w:rsid w:val="00A44690"/>
    <w:rsid w:val="00A44913"/>
    <w:rsid w:val="00A44C72"/>
    <w:rsid w:val="00A46163"/>
    <w:rsid w:val="00A46D83"/>
    <w:rsid w:val="00A4759D"/>
    <w:rsid w:val="00A501BE"/>
    <w:rsid w:val="00A505C1"/>
    <w:rsid w:val="00A53AC9"/>
    <w:rsid w:val="00A53ADC"/>
    <w:rsid w:val="00A55F9F"/>
    <w:rsid w:val="00A570A3"/>
    <w:rsid w:val="00A57C33"/>
    <w:rsid w:val="00A60611"/>
    <w:rsid w:val="00A6294F"/>
    <w:rsid w:val="00A63065"/>
    <w:rsid w:val="00A63C25"/>
    <w:rsid w:val="00A64AEC"/>
    <w:rsid w:val="00A66C6D"/>
    <w:rsid w:val="00A673B2"/>
    <w:rsid w:val="00A677E4"/>
    <w:rsid w:val="00A738BC"/>
    <w:rsid w:val="00A743E5"/>
    <w:rsid w:val="00A75331"/>
    <w:rsid w:val="00A7776A"/>
    <w:rsid w:val="00A77CA0"/>
    <w:rsid w:val="00A8044C"/>
    <w:rsid w:val="00A81311"/>
    <w:rsid w:val="00A81CB9"/>
    <w:rsid w:val="00A83229"/>
    <w:rsid w:val="00A84B58"/>
    <w:rsid w:val="00A855B9"/>
    <w:rsid w:val="00A85A3C"/>
    <w:rsid w:val="00A86ED7"/>
    <w:rsid w:val="00A87B8E"/>
    <w:rsid w:val="00A915EA"/>
    <w:rsid w:val="00A91E3B"/>
    <w:rsid w:val="00A9265D"/>
    <w:rsid w:val="00A92798"/>
    <w:rsid w:val="00A93350"/>
    <w:rsid w:val="00A9548C"/>
    <w:rsid w:val="00A95E32"/>
    <w:rsid w:val="00A96F04"/>
    <w:rsid w:val="00A96FC0"/>
    <w:rsid w:val="00A97FAA"/>
    <w:rsid w:val="00AA404D"/>
    <w:rsid w:val="00AA462C"/>
    <w:rsid w:val="00AA48CB"/>
    <w:rsid w:val="00AA5D08"/>
    <w:rsid w:val="00AA5D58"/>
    <w:rsid w:val="00AA6A14"/>
    <w:rsid w:val="00AA6AE8"/>
    <w:rsid w:val="00AA6B50"/>
    <w:rsid w:val="00AA6EF7"/>
    <w:rsid w:val="00AB06B1"/>
    <w:rsid w:val="00AB10F5"/>
    <w:rsid w:val="00AB1D02"/>
    <w:rsid w:val="00AB23F1"/>
    <w:rsid w:val="00AB2622"/>
    <w:rsid w:val="00AB2F9A"/>
    <w:rsid w:val="00AB344D"/>
    <w:rsid w:val="00AB384B"/>
    <w:rsid w:val="00AB4042"/>
    <w:rsid w:val="00AB45FE"/>
    <w:rsid w:val="00AB5A69"/>
    <w:rsid w:val="00AB754D"/>
    <w:rsid w:val="00AC08DC"/>
    <w:rsid w:val="00AC0E53"/>
    <w:rsid w:val="00AC39CC"/>
    <w:rsid w:val="00AC3CF2"/>
    <w:rsid w:val="00AC4123"/>
    <w:rsid w:val="00AC41E1"/>
    <w:rsid w:val="00AC5542"/>
    <w:rsid w:val="00AC5B85"/>
    <w:rsid w:val="00AC62E2"/>
    <w:rsid w:val="00AC6660"/>
    <w:rsid w:val="00AD0ABC"/>
    <w:rsid w:val="00AD0C88"/>
    <w:rsid w:val="00AD19F8"/>
    <w:rsid w:val="00AD1F83"/>
    <w:rsid w:val="00AD30F0"/>
    <w:rsid w:val="00AD3198"/>
    <w:rsid w:val="00AD4006"/>
    <w:rsid w:val="00AD5C00"/>
    <w:rsid w:val="00AE178E"/>
    <w:rsid w:val="00AE1EF3"/>
    <w:rsid w:val="00AE337A"/>
    <w:rsid w:val="00AE6142"/>
    <w:rsid w:val="00AE7132"/>
    <w:rsid w:val="00AF032B"/>
    <w:rsid w:val="00AF0A1E"/>
    <w:rsid w:val="00AF10D4"/>
    <w:rsid w:val="00AF2F94"/>
    <w:rsid w:val="00AF3E71"/>
    <w:rsid w:val="00AF461A"/>
    <w:rsid w:val="00AF4AC7"/>
    <w:rsid w:val="00AF4D45"/>
    <w:rsid w:val="00AF5611"/>
    <w:rsid w:val="00AF6C71"/>
    <w:rsid w:val="00AF6CDD"/>
    <w:rsid w:val="00AF6DC9"/>
    <w:rsid w:val="00AF7C1F"/>
    <w:rsid w:val="00B00DB7"/>
    <w:rsid w:val="00B029AD"/>
    <w:rsid w:val="00B057AC"/>
    <w:rsid w:val="00B0585C"/>
    <w:rsid w:val="00B05919"/>
    <w:rsid w:val="00B05E83"/>
    <w:rsid w:val="00B05F2A"/>
    <w:rsid w:val="00B0652C"/>
    <w:rsid w:val="00B06891"/>
    <w:rsid w:val="00B06E8B"/>
    <w:rsid w:val="00B102D9"/>
    <w:rsid w:val="00B11697"/>
    <w:rsid w:val="00B12105"/>
    <w:rsid w:val="00B143DB"/>
    <w:rsid w:val="00B145F4"/>
    <w:rsid w:val="00B14798"/>
    <w:rsid w:val="00B1513B"/>
    <w:rsid w:val="00B1620F"/>
    <w:rsid w:val="00B1650C"/>
    <w:rsid w:val="00B1690A"/>
    <w:rsid w:val="00B16C8D"/>
    <w:rsid w:val="00B20ED6"/>
    <w:rsid w:val="00B22447"/>
    <w:rsid w:val="00B23BE7"/>
    <w:rsid w:val="00B2411A"/>
    <w:rsid w:val="00B25572"/>
    <w:rsid w:val="00B25A75"/>
    <w:rsid w:val="00B3006D"/>
    <w:rsid w:val="00B30C44"/>
    <w:rsid w:val="00B32A74"/>
    <w:rsid w:val="00B32BCD"/>
    <w:rsid w:val="00B35879"/>
    <w:rsid w:val="00B35B41"/>
    <w:rsid w:val="00B36326"/>
    <w:rsid w:val="00B373F0"/>
    <w:rsid w:val="00B410DE"/>
    <w:rsid w:val="00B4192E"/>
    <w:rsid w:val="00B4199E"/>
    <w:rsid w:val="00B437F6"/>
    <w:rsid w:val="00B46E66"/>
    <w:rsid w:val="00B513D1"/>
    <w:rsid w:val="00B51815"/>
    <w:rsid w:val="00B52380"/>
    <w:rsid w:val="00B54267"/>
    <w:rsid w:val="00B553FA"/>
    <w:rsid w:val="00B5598A"/>
    <w:rsid w:val="00B56FE9"/>
    <w:rsid w:val="00B57427"/>
    <w:rsid w:val="00B61FCE"/>
    <w:rsid w:val="00B63936"/>
    <w:rsid w:val="00B648E6"/>
    <w:rsid w:val="00B652DB"/>
    <w:rsid w:val="00B65DBF"/>
    <w:rsid w:val="00B67EA0"/>
    <w:rsid w:val="00B709B7"/>
    <w:rsid w:val="00B710AF"/>
    <w:rsid w:val="00B7142B"/>
    <w:rsid w:val="00B722F3"/>
    <w:rsid w:val="00B7251F"/>
    <w:rsid w:val="00B72D51"/>
    <w:rsid w:val="00B72F4A"/>
    <w:rsid w:val="00B75D13"/>
    <w:rsid w:val="00B77132"/>
    <w:rsid w:val="00B77EFD"/>
    <w:rsid w:val="00B825F1"/>
    <w:rsid w:val="00B82C93"/>
    <w:rsid w:val="00B848CD"/>
    <w:rsid w:val="00B86192"/>
    <w:rsid w:val="00B87184"/>
    <w:rsid w:val="00B902CC"/>
    <w:rsid w:val="00B90504"/>
    <w:rsid w:val="00B90A14"/>
    <w:rsid w:val="00B90C11"/>
    <w:rsid w:val="00B91D7F"/>
    <w:rsid w:val="00B91F3F"/>
    <w:rsid w:val="00B92706"/>
    <w:rsid w:val="00B92BD2"/>
    <w:rsid w:val="00B95F1A"/>
    <w:rsid w:val="00BA0A97"/>
    <w:rsid w:val="00BA0D40"/>
    <w:rsid w:val="00BA2A75"/>
    <w:rsid w:val="00BA3528"/>
    <w:rsid w:val="00BA3F41"/>
    <w:rsid w:val="00BA405C"/>
    <w:rsid w:val="00BA499F"/>
    <w:rsid w:val="00BA4D15"/>
    <w:rsid w:val="00BB1E49"/>
    <w:rsid w:val="00BB21F4"/>
    <w:rsid w:val="00BB28FF"/>
    <w:rsid w:val="00BB4D34"/>
    <w:rsid w:val="00BB66DF"/>
    <w:rsid w:val="00BB7046"/>
    <w:rsid w:val="00BB7861"/>
    <w:rsid w:val="00BC0A3A"/>
    <w:rsid w:val="00BC1871"/>
    <w:rsid w:val="00BC1A85"/>
    <w:rsid w:val="00BC21A3"/>
    <w:rsid w:val="00BC27A8"/>
    <w:rsid w:val="00BC28A0"/>
    <w:rsid w:val="00BC3974"/>
    <w:rsid w:val="00BD27B2"/>
    <w:rsid w:val="00BD2826"/>
    <w:rsid w:val="00BD2EBE"/>
    <w:rsid w:val="00BD353D"/>
    <w:rsid w:val="00BD4BBB"/>
    <w:rsid w:val="00BD5C71"/>
    <w:rsid w:val="00BD68A2"/>
    <w:rsid w:val="00BD6B71"/>
    <w:rsid w:val="00BD6CAB"/>
    <w:rsid w:val="00BD6CD8"/>
    <w:rsid w:val="00BE0159"/>
    <w:rsid w:val="00BE09E4"/>
    <w:rsid w:val="00BE13B7"/>
    <w:rsid w:val="00BE169A"/>
    <w:rsid w:val="00BE1E8B"/>
    <w:rsid w:val="00BE2F7A"/>
    <w:rsid w:val="00BE348D"/>
    <w:rsid w:val="00BE36F8"/>
    <w:rsid w:val="00BE4253"/>
    <w:rsid w:val="00BE639C"/>
    <w:rsid w:val="00BE6B56"/>
    <w:rsid w:val="00BE7E65"/>
    <w:rsid w:val="00BF10C4"/>
    <w:rsid w:val="00BF2D04"/>
    <w:rsid w:val="00BF46F0"/>
    <w:rsid w:val="00BF5299"/>
    <w:rsid w:val="00BF5D9E"/>
    <w:rsid w:val="00C0017C"/>
    <w:rsid w:val="00C001CA"/>
    <w:rsid w:val="00C009BF"/>
    <w:rsid w:val="00C034AB"/>
    <w:rsid w:val="00C03A2F"/>
    <w:rsid w:val="00C041FD"/>
    <w:rsid w:val="00C048D8"/>
    <w:rsid w:val="00C04B03"/>
    <w:rsid w:val="00C04C85"/>
    <w:rsid w:val="00C04E09"/>
    <w:rsid w:val="00C05303"/>
    <w:rsid w:val="00C0590D"/>
    <w:rsid w:val="00C07BF5"/>
    <w:rsid w:val="00C10F96"/>
    <w:rsid w:val="00C11F21"/>
    <w:rsid w:val="00C12DDF"/>
    <w:rsid w:val="00C132E2"/>
    <w:rsid w:val="00C13B09"/>
    <w:rsid w:val="00C15A41"/>
    <w:rsid w:val="00C161E3"/>
    <w:rsid w:val="00C1713B"/>
    <w:rsid w:val="00C1730E"/>
    <w:rsid w:val="00C1732E"/>
    <w:rsid w:val="00C17F53"/>
    <w:rsid w:val="00C2176F"/>
    <w:rsid w:val="00C21C25"/>
    <w:rsid w:val="00C221B1"/>
    <w:rsid w:val="00C23217"/>
    <w:rsid w:val="00C25230"/>
    <w:rsid w:val="00C2555A"/>
    <w:rsid w:val="00C25FB0"/>
    <w:rsid w:val="00C27806"/>
    <w:rsid w:val="00C300B1"/>
    <w:rsid w:val="00C30549"/>
    <w:rsid w:val="00C31147"/>
    <w:rsid w:val="00C31835"/>
    <w:rsid w:val="00C323F1"/>
    <w:rsid w:val="00C3321C"/>
    <w:rsid w:val="00C334E7"/>
    <w:rsid w:val="00C33656"/>
    <w:rsid w:val="00C3466E"/>
    <w:rsid w:val="00C34A1D"/>
    <w:rsid w:val="00C35C09"/>
    <w:rsid w:val="00C366FD"/>
    <w:rsid w:val="00C372B4"/>
    <w:rsid w:val="00C4116E"/>
    <w:rsid w:val="00C41EA8"/>
    <w:rsid w:val="00C42636"/>
    <w:rsid w:val="00C427CA"/>
    <w:rsid w:val="00C429F0"/>
    <w:rsid w:val="00C43456"/>
    <w:rsid w:val="00C43637"/>
    <w:rsid w:val="00C44436"/>
    <w:rsid w:val="00C4577C"/>
    <w:rsid w:val="00C45D32"/>
    <w:rsid w:val="00C461DE"/>
    <w:rsid w:val="00C46B46"/>
    <w:rsid w:val="00C46B58"/>
    <w:rsid w:val="00C509C2"/>
    <w:rsid w:val="00C50B6A"/>
    <w:rsid w:val="00C5124F"/>
    <w:rsid w:val="00C52588"/>
    <w:rsid w:val="00C536A3"/>
    <w:rsid w:val="00C53A28"/>
    <w:rsid w:val="00C54FA6"/>
    <w:rsid w:val="00C5563D"/>
    <w:rsid w:val="00C56180"/>
    <w:rsid w:val="00C56ABA"/>
    <w:rsid w:val="00C5761F"/>
    <w:rsid w:val="00C57DC7"/>
    <w:rsid w:val="00C612FD"/>
    <w:rsid w:val="00C63DE6"/>
    <w:rsid w:val="00C66C92"/>
    <w:rsid w:val="00C66EDC"/>
    <w:rsid w:val="00C66FA8"/>
    <w:rsid w:val="00C672C6"/>
    <w:rsid w:val="00C71063"/>
    <w:rsid w:val="00C720B0"/>
    <w:rsid w:val="00C72AB0"/>
    <w:rsid w:val="00C72F0D"/>
    <w:rsid w:val="00C733A1"/>
    <w:rsid w:val="00C74C3E"/>
    <w:rsid w:val="00C75D43"/>
    <w:rsid w:val="00C77BE6"/>
    <w:rsid w:val="00C801A3"/>
    <w:rsid w:val="00C8161F"/>
    <w:rsid w:val="00C82059"/>
    <w:rsid w:val="00C8289A"/>
    <w:rsid w:val="00C83A50"/>
    <w:rsid w:val="00C848FC"/>
    <w:rsid w:val="00C85350"/>
    <w:rsid w:val="00C8559A"/>
    <w:rsid w:val="00C85854"/>
    <w:rsid w:val="00C86508"/>
    <w:rsid w:val="00C86AAF"/>
    <w:rsid w:val="00C86CD1"/>
    <w:rsid w:val="00C86D6F"/>
    <w:rsid w:val="00C872CD"/>
    <w:rsid w:val="00C8741F"/>
    <w:rsid w:val="00C87616"/>
    <w:rsid w:val="00C87FB8"/>
    <w:rsid w:val="00C906CC"/>
    <w:rsid w:val="00C90CBD"/>
    <w:rsid w:val="00C910CF"/>
    <w:rsid w:val="00C9111C"/>
    <w:rsid w:val="00C9181A"/>
    <w:rsid w:val="00C91A5D"/>
    <w:rsid w:val="00C920D7"/>
    <w:rsid w:val="00C9232A"/>
    <w:rsid w:val="00C93394"/>
    <w:rsid w:val="00C93A12"/>
    <w:rsid w:val="00C93AA2"/>
    <w:rsid w:val="00C94DD1"/>
    <w:rsid w:val="00C95725"/>
    <w:rsid w:val="00C965F1"/>
    <w:rsid w:val="00C96BC7"/>
    <w:rsid w:val="00CA00F0"/>
    <w:rsid w:val="00CA14A2"/>
    <w:rsid w:val="00CA25C5"/>
    <w:rsid w:val="00CA300C"/>
    <w:rsid w:val="00CA4C65"/>
    <w:rsid w:val="00CA5A2A"/>
    <w:rsid w:val="00CA68C2"/>
    <w:rsid w:val="00CB05CD"/>
    <w:rsid w:val="00CB0884"/>
    <w:rsid w:val="00CB1450"/>
    <w:rsid w:val="00CB1CAC"/>
    <w:rsid w:val="00CB347B"/>
    <w:rsid w:val="00CB4829"/>
    <w:rsid w:val="00CB5593"/>
    <w:rsid w:val="00CB5C5A"/>
    <w:rsid w:val="00CB61A5"/>
    <w:rsid w:val="00CB7AC9"/>
    <w:rsid w:val="00CC0769"/>
    <w:rsid w:val="00CC0E3E"/>
    <w:rsid w:val="00CC1014"/>
    <w:rsid w:val="00CC3C34"/>
    <w:rsid w:val="00CC4FBA"/>
    <w:rsid w:val="00CC6C7A"/>
    <w:rsid w:val="00CC70EA"/>
    <w:rsid w:val="00CC7ACB"/>
    <w:rsid w:val="00CD188D"/>
    <w:rsid w:val="00CD36FF"/>
    <w:rsid w:val="00CD3FE2"/>
    <w:rsid w:val="00CD45BD"/>
    <w:rsid w:val="00CD77B3"/>
    <w:rsid w:val="00CE0AE1"/>
    <w:rsid w:val="00CE1DC9"/>
    <w:rsid w:val="00CE2212"/>
    <w:rsid w:val="00CE2AC7"/>
    <w:rsid w:val="00CE3300"/>
    <w:rsid w:val="00CE350F"/>
    <w:rsid w:val="00CE378F"/>
    <w:rsid w:val="00CE3F67"/>
    <w:rsid w:val="00CE5569"/>
    <w:rsid w:val="00CE6794"/>
    <w:rsid w:val="00CE71AD"/>
    <w:rsid w:val="00CF06F5"/>
    <w:rsid w:val="00CF15CB"/>
    <w:rsid w:val="00CF1629"/>
    <w:rsid w:val="00CF198B"/>
    <w:rsid w:val="00CF24ED"/>
    <w:rsid w:val="00CF2B8B"/>
    <w:rsid w:val="00CF331E"/>
    <w:rsid w:val="00CF3522"/>
    <w:rsid w:val="00CF3E31"/>
    <w:rsid w:val="00CF4473"/>
    <w:rsid w:val="00CF50A5"/>
    <w:rsid w:val="00CF6167"/>
    <w:rsid w:val="00CF71AA"/>
    <w:rsid w:val="00D0186F"/>
    <w:rsid w:val="00D01A41"/>
    <w:rsid w:val="00D01F2E"/>
    <w:rsid w:val="00D01FF2"/>
    <w:rsid w:val="00D02A46"/>
    <w:rsid w:val="00D02D8D"/>
    <w:rsid w:val="00D03573"/>
    <w:rsid w:val="00D03E5D"/>
    <w:rsid w:val="00D04565"/>
    <w:rsid w:val="00D0683F"/>
    <w:rsid w:val="00D0758A"/>
    <w:rsid w:val="00D11578"/>
    <w:rsid w:val="00D119EE"/>
    <w:rsid w:val="00D130EA"/>
    <w:rsid w:val="00D1403C"/>
    <w:rsid w:val="00D144E4"/>
    <w:rsid w:val="00D14C91"/>
    <w:rsid w:val="00D14F37"/>
    <w:rsid w:val="00D15723"/>
    <w:rsid w:val="00D16DE6"/>
    <w:rsid w:val="00D1751D"/>
    <w:rsid w:val="00D17676"/>
    <w:rsid w:val="00D17B89"/>
    <w:rsid w:val="00D20097"/>
    <w:rsid w:val="00D2038F"/>
    <w:rsid w:val="00D20767"/>
    <w:rsid w:val="00D20B5E"/>
    <w:rsid w:val="00D215BB"/>
    <w:rsid w:val="00D2205B"/>
    <w:rsid w:val="00D22A30"/>
    <w:rsid w:val="00D279A4"/>
    <w:rsid w:val="00D31619"/>
    <w:rsid w:val="00D32139"/>
    <w:rsid w:val="00D33CA0"/>
    <w:rsid w:val="00D3403B"/>
    <w:rsid w:val="00D349E9"/>
    <w:rsid w:val="00D35140"/>
    <w:rsid w:val="00D35757"/>
    <w:rsid w:val="00D35EF6"/>
    <w:rsid w:val="00D365F2"/>
    <w:rsid w:val="00D40AD7"/>
    <w:rsid w:val="00D41EAC"/>
    <w:rsid w:val="00D42248"/>
    <w:rsid w:val="00D435A0"/>
    <w:rsid w:val="00D436A5"/>
    <w:rsid w:val="00D43C49"/>
    <w:rsid w:val="00D441E6"/>
    <w:rsid w:val="00D46A31"/>
    <w:rsid w:val="00D5080F"/>
    <w:rsid w:val="00D50C89"/>
    <w:rsid w:val="00D51136"/>
    <w:rsid w:val="00D5144B"/>
    <w:rsid w:val="00D51921"/>
    <w:rsid w:val="00D54E0C"/>
    <w:rsid w:val="00D54F39"/>
    <w:rsid w:val="00D553E1"/>
    <w:rsid w:val="00D555DB"/>
    <w:rsid w:val="00D556B1"/>
    <w:rsid w:val="00D55F3F"/>
    <w:rsid w:val="00D56468"/>
    <w:rsid w:val="00D5672F"/>
    <w:rsid w:val="00D57C2F"/>
    <w:rsid w:val="00D57E31"/>
    <w:rsid w:val="00D61733"/>
    <w:rsid w:val="00D6215A"/>
    <w:rsid w:val="00D6225F"/>
    <w:rsid w:val="00D62BFA"/>
    <w:rsid w:val="00D63A0E"/>
    <w:rsid w:val="00D64462"/>
    <w:rsid w:val="00D644AC"/>
    <w:rsid w:val="00D64948"/>
    <w:rsid w:val="00D65DDA"/>
    <w:rsid w:val="00D661C9"/>
    <w:rsid w:val="00D66721"/>
    <w:rsid w:val="00D66AAD"/>
    <w:rsid w:val="00D66EA3"/>
    <w:rsid w:val="00D6710A"/>
    <w:rsid w:val="00D672EA"/>
    <w:rsid w:val="00D701D9"/>
    <w:rsid w:val="00D70857"/>
    <w:rsid w:val="00D70AD6"/>
    <w:rsid w:val="00D71C34"/>
    <w:rsid w:val="00D7333C"/>
    <w:rsid w:val="00D74C8E"/>
    <w:rsid w:val="00D75762"/>
    <w:rsid w:val="00D761CB"/>
    <w:rsid w:val="00D769AD"/>
    <w:rsid w:val="00D769BB"/>
    <w:rsid w:val="00D7719C"/>
    <w:rsid w:val="00D81E3A"/>
    <w:rsid w:val="00D82A48"/>
    <w:rsid w:val="00D830FE"/>
    <w:rsid w:val="00D836A0"/>
    <w:rsid w:val="00D8596C"/>
    <w:rsid w:val="00D87DAD"/>
    <w:rsid w:val="00D901B0"/>
    <w:rsid w:val="00D91EBC"/>
    <w:rsid w:val="00D925DF"/>
    <w:rsid w:val="00D92E52"/>
    <w:rsid w:val="00D9373C"/>
    <w:rsid w:val="00D938BB"/>
    <w:rsid w:val="00D93C20"/>
    <w:rsid w:val="00D95F41"/>
    <w:rsid w:val="00D96B64"/>
    <w:rsid w:val="00D9759A"/>
    <w:rsid w:val="00D97722"/>
    <w:rsid w:val="00DA098F"/>
    <w:rsid w:val="00DA4062"/>
    <w:rsid w:val="00DA4600"/>
    <w:rsid w:val="00DA4CFA"/>
    <w:rsid w:val="00DA5054"/>
    <w:rsid w:val="00DA512E"/>
    <w:rsid w:val="00DA57C0"/>
    <w:rsid w:val="00DA666E"/>
    <w:rsid w:val="00DB050B"/>
    <w:rsid w:val="00DB1AB2"/>
    <w:rsid w:val="00DB2A01"/>
    <w:rsid w:val="00DB35A7"/>
    <w:rsid w:val="00DB43AE"/>
    <w:rsid w:val="00DB46F9"/>
    <w:rsid w:val="00DB507B"/>
    <w:rsid w:val="00DB56AD"/>
    <w:rsid w:val="00DB58CE"/>
    <w:rsid w:val="00DB77DB"/>
    <w:rsid w:val="00DC0700"/>
    <w:rsid w:val="00DC160F"/>
    <w:rsid w:val="00DC1BA3"/>
    <w:rsid w:val="00DC304B"/>
    <w:rsid w:val="00DC335A"/>
    <w:rsid w:val="00DC4649"/>
    <w:rsid w:val="00DC4677"/>
    <w:rsid w:val="00DC4C10"/>
    <w:rsid w:val="00DC5783"/>
    <w:rsid w:val="00DC643D"/>
    <w:rsid w:val="00DC7CE8"/>
    <w:rsid w:val="00DD0D22"/>
    <w:rsid w:val="00DD322F"/>
    <w:rsid w:val="00DD58AD"/>
    <w:rsid w:val="00DD5E7E"/>
    <w:rsid w:val="00DD6296"/>
    <w:rsid w:val="00DD67EA"/>
    <w:rsid w:val="00DD6C63"/>
    <w:rsid w:val="00DD6E81"/>
    <w:rsid w:val="00DD73E9"/>
    <w:rsid w:val="00DD7930"/>
    <w:rsid w:val="00DE0624"/>
    <w:rsid w:val="00DE0950"/>
    <w:rsid w:val="00DE0B98"/>
    <w:rsid w:val="00DE0D81"/>
    <w:rsid w:val="00DE1530"/>
    <w:rsid w:val="00DE198C"/>
    <w:rsid w:val="00DE238F"/>
    <w:rsid w:val="00DE2D86"/>
    <w:rsid w:val="00DE3156"/>
    <w:rsid w:val="00DE330F"/>
    <w:rsid w:val="00DE3B62"/>
    <w:rsid w:val="00DE3CB3"/>
    <w:rsid w:val="00DE4A40"/>
    <w:rsid w:val="00DE51F6"/>
    <w:rsid w:val="00DE5D18"/>
    <w:rsid w:val="00DE6BC3"/>
    <w:rsid w:val="00DE6F6E"/>
    <w:rsid w:val="00DE70DE"/>
    <w:rsid w:val="00DE75A2"/>
    <w:rsid w:val="00DF11E2"/>
    <w:rsid w:val="00DF1370"/>
    <w:rsid w:val="00DF1E2C"/>
    <w:rsid w:val="00DF1F19"/>
    <w:rsid w:val="00DF2B26"/>
    <w:rsid w:val="00DF3852"/>
    <w:rsid w:val="00DF47E3"/>
    <w:rsid w:val="00DF4FBE"/>
    <w:rsid w:val="00DF6712"/>
    <w:rsid w:val="00DF6E4F"/>
    <w:rsid w:val="00DF7AB9"/>
    <w:rsid w:val="00E00D31"/>
    <w:rsid w:val="00E02AC1"/>
    <w:rsid w:val="00E03C6E"/>
    <w:rsid w:val="00E04450"/>
    <w:rsid w:val="00E04DA5"/>
    <w:rsid w:val="00E05EBC"/>
    <w:rsid w:val="00E101CE"/>
    <w:rsid w:val="00E1032F"/>
    <w:rsid w:val="00E11D22"/>
    <w:rsid w:val="00E13429"/>
    <w:rsid w:val="00E13C59"/>
    <w:rsid w:val="00E170F1"/>
    <w:rsid w:val="00E17A36"/>
    <w:rsid w:val="00E20649"/>
    <w:rsid w:val="00E212BA"/>
    <w:rsid w:val="00E22942"/>
    <w:rsid w:val="00E22F75"/>
    <w:rsid w:val="00E23782"/>
    <w:rsid w:val="00E2660A"/>
    <w:rsid w:val="00E2784B"/>
    <w:rsid w:val="00E30B4B"/>
    <w:rsid w:val="00E3177D"/>
    <w:rsid w:val="00E31A70"/>
    <w:rsid w:val="00E31B14"/>
    <w:rsid w:val="00E31E5F"/>
    <w:rsid w:val="00E31EFB"/>
    <w:rsid w:val="00E32BA5"/>
    <w:rsid w:val="00E3302D"/>
    <w:rsid w:val="00E3367F"/>
    <w:rsid w:val="00E33715"/>
    <w:rsid w:val="00E34713"/>
    <w:rsid w:val="00E34D44"/>
    <w:rsid w:val="00E34E20"/>
    <w:rsid w:val="00E35DE6"/>
    <w:rsid w:val="00E36B19"/>
    <w:rsid w:val="00E36F15"/>
    <w:rsid w:val="00E36F79"/>
    <w:rsid w:val="00E374B6"/>
    <w:rsid w:val="00E40987"/>
    <w:rsid w:val="00E41071"/>
    <w:rsid w:val="00E41599"/>
    <w:rsid w:val="00E418A0"/>
    <w:rsid w:val="00E41E18"/>
    <w:rsid w:val="00E41FD7"/>
    <w:rsid w:val="00E424A3"/>
    <w:rsid w:val="00E43574"/>
    <w:rsid w:val="00E471FC"/>
    <w:rsid w:val="00E473BA"/>
    <w:rsid w:val="00E47F0E"/>
    <w:rsid w:val="00E509BA"/>
    <w:rsid w:val="00E50C6F"/>
    <w:rsid w:val="00E517DD"/>
    <w:rsid w:val="00E52022"/>
    <w:rsid w:val="00E52508"/>
    <w:rsid w:val="00E532C6"/>
    <w:rsid w:val="00E539B1"/>
    <w:rsid w:val="00E539FC"/>
    <w:rsid w:val="00E53E30"/>
    <w:rsid w:val="00E546CF"/>
    <w:rsid w:val="00E54759"/>
    <w:rsid w:val="00E56D00"/>
    <w:rsid w:val="00E57147"/>
    <w:rsid w:val="00E576F4"/>
    <w:rsid w:val="00E62BD5"/>
    <w:rsid w:val="00E64E1B"/>
    <w:rsid w:val="00E654BA"/>
    <w:rsid w:val="00E65FD3"/>
    <w:rsid w:val="00E66195"/>
    <w:rsid w:val="00E67A97"/>
    <w:rsid w:val="00E7076F"/>
    <w:rsid w:val="00E716C0"/>
    <w:rsid w:val="00E7364D"/>
    <w:rsid w:val="00E73BC2"/>
    <w:rsid w:val="00E74274"/>
    <w:rsid w:val="00E76575"/>
    <w:rsid w:val="00E76D9D"/>
    <w:rsid w:val="00E804B6"/>
    <w:rsid w:val="00E805CD"/>
    <w:rsid w:val="00E807EE"/>
    <w:rsid w:val="00E810A3"/>
    <w:rsid w:val="00E814F9"/>
    <w:rsid w:val="00E8195D"/>
    <w:rsid w:val="00E8198D"/>
    <w:rsid w:val="00E828A2"/>
    <w:rsid w:val="00E8555E"/>
    <w:rsid w:val="00E859C1"/>
    <w:rsid w:val="00E87909"/>
    <w:rsid w:val="00E911CE"/>
    <w:rsid w:val="00E936D7"/>
    <w:rsid w:val="00E944B3"/>
    <w:rsid w:val="00E946DD"/>
    <w:rsid w:val="00E94C8B"/>
    <w:rsid w:val="00E96683"/>
    <w:rsid w:val="00E970B2"/>
    <w:rsid w:val="00E97408"/>
    <w:rsid w:val="00EA027A"/>
    <w:rsid w:val="00EA0DE9"/>
    <w:rsid w:val="00EA19DB"/>
    <w:rsid w:val="00EA1D28"/>
    <w:rsid w:val="00EA2BAE"/>
    <w:rsid w:val="00EA2D07"/>
    <w:rsid w:val="00EA2F00"/>
    <w:rsid w:val="00EA31FB"/>
    <w:rsid w:val="00EA4223"/>
    <w:rsid w:val="00EA49FE"/>
    <w:rsid w:val="00EA4CFF"/>
    <w:rsid w:val="00EA541C"/>
    <w:rsid w:val="00EA6365"/>
    <w:rsid w:val="00EA70B3"/>
    <w:rsid w:val="00EA70D4"/>
    <w:rsid w:val="00EA7AFD"/>
    <w:rsid w:val="00EA7B36"/>
    <w:rsid w:val="00EA7D82"/>
    <w:rsid w:val="00EB1690"/>
    <w:rsid w:val="00EB18D0"/>
    <w:rsid w:val="00EB1CD2"/>
    <w:rsid w:val="00EB2956"/>
    <w:rsid w:val="00EB4AE6"/>
    <w:rsid w:val="00EB5382"/>
    <w:rsid w:val="00EB57D5"/>
    <w:rsid w:val="00EB7B20"/>
    <w:rsid w:val="00EC29B3"/>
    <w:rsid w:val="00EC311C"/>
    <w:rsid w:val="00EC3861"/>
    <w:rsid w:val="00EC51D1"/>
    <w:rsid w:val="00EC6192"/>
    <w:rsid w:val="00EC6A90"/>
    <w:rsid w:val="00EC779A"/>
    <w:rsid w:val="00EC7952"/>
    <w:rsid w:val="00EC7C93"/>
    <w:rsid w:val="00ED038E"/>
    <w:rsid w:val="00ED0E70"/>
    <w:rsid w:val="00ED165D"/>
    <w:rsid w:val="00ED2A5A"/>
    <w:rsid w:val="00ED34DA"/>
    <w:rsid w:val="00ED3C7B"/>
    <w:rsid w:val="00ED4235"/>
    <w:rsid w:val="00ED49DB"/>
    <w:rsid w:val="00ED4C51"/>
    <w:rsid w:val="00ED6487"/>
    <w:rsid w:val="00ED7B3F"/>
    <w:rsid w:val="00EE027C"/>
    <w:rsid w:val="00EE296A"/>
    <w:rsid w:val="00EE4488"/>
    <w:rsid w:val="00EE480E"/>
    <w:rsid w:val="00EE5598"/>
    <w:rsid w:val="00EE6521"/>
    <w:rsid w:val="00EE69EE"/>
    <w:rsid w:val="00EF0210"/>
    <w:rsid w:val="00EF08A5"/>
    <w:rsid w:val="00EF15D3"/>
    <w:rsid w:val="00EF18C8"/>
    <w:rsid w:val="00EF1A1F"/>
    <w:rsid w:val="00EF1F8C"/>
    <w:rsid w:val="00EF1FC4"/>
    <w:rsid w:val="00EF3CF3"/>
    <w:rsid w:val="00EF481A"/>
    <w:rsid w:val="00EF503E"/>
    <w:rsid w:val="00EF7C7D"/>
    <w:rsid w:val="00F0102E"/>
    <w:rsid w:val="00F013DF"/>
    <w:rsid w:val="00F02660"/>
    <w:rsid w:val="00F04D2F"/>
    <w:rsid w:val="00F060A1"/>
    <w:rsid w:val="00F060B6"/>
    <w:rsid w:val="00F06412"/>
    <w:rsid w:val="00F06FDC"/>
    <w:rsid w:val="00F12200"/>
    <w:rsid w:val="00F12803"/>
    <w:rsid w:val="00F13BC2"/>
    <w:rsid w:val="00F147E7"/>
    <w:rsid w:val="00F151B6"/>
    <w:rsid w:val="00F15406"/>
    <w:rsid w:val="00F15BAE"/>
    <w:rsid w:val="00F17736"/>
    <w:rsid w:val="00F17CC6"/>
    <w:rsid w:val="00F207BD"/>
    <w:rsid w:val="00F20E3B"/>
    <w:rsid w:val="00F20F3D"/>
    <w:rsid w:val="00F22316"/>
    <w:rsid w:val="00F2345F"/>
    <w:rsid w:val="00F23582"/>
    <w:rsid w:val="00F265BA"/>
    <w:rsid w:val="00F2771D"/>
    <w:rsid w:val="00F277DB"/>
    <w:rsid w:val="00F27E73"/>
    <w:rsid w:val="00F30388"/>
    <w:rsid w:val="00F30BC5"/>
    <w:rsid w:val="00F33999"/>
    <w:rsid w:val="00F34C4B"/>
    <w:rsid w:val="00F35EE5"/>
    <w:rsid w:val="00F37786"/>
    <w:rsid w:val="00F404B4"/>
    <w:rsid w:val="00F41467"/>
    <w:rsid w:val="00F42CCC"/>
    <w:rsid w:val="00F4364C"/>
    <w:rsid w:val="00F44520"/>
    <w:rsid w:val="00F44EF7"/>
    <w:rsid w:val="00F45619"/>
    <w:rsid w:val="00F45916"/>
    <w:rsid w:val="00F4656C"/>
    <w:rsid w:val="00F468E7"/>
    <w:rsid w:val="00F47A77"/>
    <w:rsid w:val="00F50A03"/>
    <w:rsid w:val="00F510ED"/>
    <w:rsid w:val="00F5345A"/>
    <w:rsid w:val="00F56151"/>
    <w:rsid w:val="00F57481"/>
    <w:rsid w:val="00F60060"/>
    <w:rsid w:val="00F6029B"/>
    <w:rsid w:val="00F60EDF"/>
    <w:rsid w:val="00F61451"/>
    <w:rsid w:val="00F62BC8"/>
    <w:rsid w:val="00F638FE"/>
    <w:rsid w:val="00F64F98"/>
    <w:rsid w:val="00F651D4"/>
    <w:rsid w:val="00F65835"/>
    <w:rsid w:val="00F66040"/>
    <w:rsid w:val="00F660D3"/>
    <w:rsid w:val="00F678A4"/>
    <w:rsid w:val="00F67D27"/>
    <w:rsid w:val="00F71F63"/>
    <w:rsid w:val="00F72085"/>
    <w:rsid w:val="00F72749"/>
    <w:rsid w:val="00F73029"/>
    <w:rsid w:val="00F733A2"/>
    <w:rsid w:val="00F73FAD"/>
    <w:rsid w:val="00F7441A"/>
    <w:rsid w:val="00F75812"/>
    <w:rsid w:val="00F75E68"/>
    <w:rsid w:val="00F76663"/>
    <w:rsid w:val="00F77594"/>
    <w:rsid w:val="00F80AE9"/>
    <w:rsid w:val="00F83AAF"/>
    <w:rsid w:val="00F83BB5"/>
    <w:rsid w:val="00F83D1C"/>
    <w:rsid w:val="00F84C60"/>
    <w:rsid w:val="00F850AF"/>
    <w:rsid w:val="00F85209"/>
    <w:rsid w:val="00F85951"/>
    <w:rsid w:val="00F85CD2"/>
    <w:rsid w:val="00F86C95"/>
    <w:rsid w:val="00F86FD4"/>
    <w:rsid w:val="00F87540"/>
    <w:rsid w:val="00F875D1"/>
    <w:rsid w:val="00F8790C"/>
    <w:rsid w:val="00F87E0F"/>
    <w:rsid w:val="00F92AF4"/>
    <w:rsid w:val="00F9448F"/>
    <w:rsid w:val="00F94846"/>
    <w:rsid w:val="00F96153"/>
    <w:rsid w:val="00F967BC"/>
    <w:rsid w:val="00F9698D"/>
    <w:rsid w:val="00F973EE"/>
    <w:rsid w:val="00FA0E7E"/>
    <w:rsid w:val="00FA23A6"/>
    <w:rsid w:val="00FA4E78"/>
    <w:rsid w:val="00FA624B"/>
    <w:rsid w:val="00FA6800"/>
    <w:rsid w:val="00FA73B7"/>
    <w:rsid w:val="00FB03D4"/>
    <w:rsid w:val="00FB04D0"/>
    <w:rsid w:val="00FB0EE5"/>
    <w:rsid w:val="00FB1265"/>
    <w:rsid w:val="00FB1333"/>
    <w:rsid w:val="00FB1D4B"/>
    <w:rsid w:val="00FB34BB"/>
    <w:rsid w:val="00FB34E0"/>
    <w:rsid w:val="00FB364B"/>
    <w:rsid w:val="00FB45FE"/>
    <w:rsid w:val="00FB6193"/>
    <w:rsid w:val="00FB6C52"/>
    <w:rsid w:val="00FB6C7A"/>
    <w:rsid w:val="00FB6DEA"/>
    <w:rsid w:val="00FB7D68"/>
    <w:rsid w:val="00FC136B"/>
    <w:rsid w:val="00FC1613"/>
    <w:rsid w:val="00FC3820"/>
    <w:rsid w:val="00FC41D2"/>
    <w:rsid w:val="00FC4644"/>
    <w:rsid w:val="00FC464E"/>
    <w:rsid w:val="00FC5ADA"/>
    <w:rsid w:val="00FC6372"/>
    <w:rsid w:val="00FD0AB2"/>
    <w:rsid w:val="00FD16A1"/>
    <w:rsid w:val="00FD372A"/>
    <w:rsid w:val="00FD3BD4"/>
    <w:rsid w:val="00FD462C"/>
    <w:rsid w:val="00FD5752"/>
    <w:rsid w:val="00FD6453"/>
    <w:rsid w:val="00FD6F28"/>
    <w:rsid w:val="00FD7884"/>
    <w:rsid w:val="00FD78D7"/>
    <w:rsid w:val="00FE0648"/>
    <w:rsid w:val="00FE0791"/>
    <w:rsid w:val="00FE0A76"/>
    <w:rsid w:val="00FE0C4B"/>
    <w:rsid w:val="00FE1BD4"/>
    <w:rsid w:val="00FE4954"/>
    <w:rsid w:val="00FE4A79"/>
    <w:rsid w:val="00FE5674"/>
    <w:rsid w:val="00FE59C9"/>
    <w:rsid w:val="00FE7220"/>
    <w:rsid w:val="00FE7451"/>
    <w:rsid w:val="00FF079E"/>
    <w:rsid w:val="00FF0C9C"/>
    <w:rsid w:val="00FF0FFB"/>
    <w:rsid w:val="00FF44EF"/>
    <w:rsid w:val="00FF53BF"/>
    <w:rsid w:val="00FF5998"/>
    <w:rsid w:val="00FF5D15"/>
    <w:rsid w:val="00FF668F"/>
    <w:rsid w:val="00FF6D85"/>
    <w:rsid w:val="00FF7074"/>
    <w:rsid w:val="00FF71E5"/>
    <w:rsid w:val="00FF7CB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9F2C7-4B9A-4CCF-B5B5-71285900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7039B"/>
    <w:pPr>
      <w:spacing w:after="0" w:line="240" w:lineRule="auto"/>
    </w:pPr>
    <w:rPr>
      <w:sz w:val="20"/>
      <w:szCs w:val="20"/>
    </w:rPr>
  </w:style>
  <w:style w:type="character" w:customStyle="1" w:styleId="FootnoteTextChar">
    <w:name w:val="Footnote Text Char"/>
    <w:basedOn w:val="DefaultParagraphFont"/>
    <w:link w:val="FootnoteText"/>
    <w:semiHidden/>
    <w:rsid w:val="0037039B"/>
    <w:rPr>
      <w:sz w:val="20"/>
      <w:szCs w:val="20"/>
    </w:rPr>
  </w:style>
  <w:style w:type="character" w:styleId="FootnoteReference">
    <w:name w:val="footnote reference"/>
    <w:basedOn w:val="DefaultParagraphFont"/>
    <w:semiHidden/>
    <w:unhideWhenUsed/>
    <w:rsid w:val="0037039B"/>
    <w:rPr>
      <w:vertAlign w:val="superscript"/>
    </w:rPr>
  </w:style>
  <w:style w:type="paragraph" w:styleId="Header">
    <w:name w:val="header"/>
    <w:basedOn w:val="Normal"/>
    <w:link w:val="HeaderChar"/>
    <w:uiPriority w:val="99"/>
    <w:semiHidden/>
    <w:unhideWhenUsed/>
    <w:rsid w:val="00EC6A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6A90"/>
  </w:style>
  <w:style w:type="paragraph" w:styleId="Footer">
    <w:name w:val="footer"/>
    <w:basedOn w:val="Normal"/>
    <w:link w:val="FooterChar"/>
    <w:uiPriority w:val="99"/>
    <w:unhideWhenUsed/>
    <w:rsid w:val="00EC6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A90"/>
  </w:style>
  <w:style w:type="paragraph" w:styleId="ListParagraph">
    <w:name w:val="List Paragraph"/>
    <w:basedOn w:val="Normal"/>
    <w:uiPriority w:val="34"/>
    <w:qFormat/>
    <w:rsid w:val="00182F8C"/>
    <w:pPr>
      <w:ind w:left="720"/>
      <w:contextualSpacing/>
    </w:pPr>
  </w:style>
  <w:style w:type="paragraph" w:styleId="BalloonText">
    <w:name w:val="Balloon Text"/>
    <w:basedOn w:val="Normal"/>
    <w:link w:val="BalloonTextChar"/>
    <w:uiPriority w:val="99"/>
    <w:semiHidden/>
    <w:unhideWhenUsed/>
    <w:rsid w:val="00471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CD"/>
    <w:rPr>
      <w:rFonts w:ascii="Tahoma" w:hAnsi="Tahoma" w:cs="Tahoma"/>
      <w:sz w:val="16"/>
      <w:szCs w:val="16"/>
    </w:rPr>
  </w:style>
  <w:style w:type="table" w:styleId="TableGrid">
    <w:name w:val="Table Grid"/>
    <w:basedOn w:val="TableNormal"/>
    <w:uiPriority w:val="59"/>
    <w:rsid w:val="00C82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4344B"/>
    <w:rPr>
      <w:sz w:val="16"/>
      <w:szCs w:val="16"/>
    </w:rPr>
  </w:style>
  <w:style w:type="paragraph" w:styleId="CommentText">
    <w:name w:val="annotation text"/>
    <w:basedOn w:val="Normal"/>
    <w:link w:val="CommentTextChar"/>
    <w:uiPriority w:val="99"/>
    <w:semiHidden/>
    <w:unhideWhenUsed/>
    <w:rsid w:val="0014344B"/>
    <w:pPr>
      <w:spacing w:line="240" w:lineRule="auto"/>
    </w:pPr>
    <w:rPr>
      <w:sz w:val="20"/>
      <w:szCs w:val="20"/>
    </w:rPr>
  </w:style>
  <w:style w:type="character" w:customStyle="1" w:styleId="CommentTextChar">
    <w:name w:val="Comment Text Char"/>
    <w:basedOn w:val="DefaultParagraphFont"/>
    <w:link w:val="CommentText"/>
    <w:uiPriority w:val="99"/>
    <w:semiHidden/>
    <w:rsid w:val="0014344B"/>
    <w:rPr>
      <w:sz w:val="20"/>
      <w:szCs w:val="20"/>
    </w:rPr>
  </w:style>
  <w:style w:type="paragraph" w:styleId="CommentSubject">
    <w:name w:val="annotation subject"/>
    <w:basedOn w:val="CommentText"/>
    <w:next w:val="CommentText"/>
    <w:link w:val="CommentSubjectChar"/>
    <w:uiPriority w:val="99"/>
    <w:semiHidden/>
    <w:unhideWhenUsed/>
    <w:rsid w:val="0014344B"/>
    <w:rPr>
      <w:b/>
      <w:bCs/>
    </w:rPr>
  </w:style>
  <w:style w:type="character" w:customStyle="1" w:styleId="CommentSubjectChar">
    <w:name w:val="Comment Subject Char"/>
    <w:basedOn w:val="CommentTextChar"/>
    <w:link w:val="CommentSubject"/>
    <w:uiPriority w:val="99"/>
    <w:semiHidden/>
    <w:rsid w:val="001434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86519">
      <w:bodyDiv w:val="1"/>
      <w:marLeft w:val="0"/>
      <w:marRight w:val="0"/>
      <w:marTop w:val="0"/>
      <w:marBottom w:val="0"/>
      <w:divBdr>
        <w:top w:val="none" w:sz="0" w:space="0" w:color="auto"/>
        <w:left w:val="none" w:sz="0" w:space="0" w:color="auto"/>
        <w:bottom w:val="none" w:sz="0" w:space="0" w:color="auto"/>
        <w:right w:val="none" w:sz="0" w:space="0" w:color="auto"/>
      </w:divBdr>
      <w:divsChild>
        <w:div w:id="155997731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wmf"/><Relationship Id="rId25" Type="http://schemas.openxmlformats.org/officeDocument/2006/relationships/image" Target="media/image9.jpe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diagramColors" Target="diagrams/colors1.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6501AD-AA55-4E23-8FB6-D303F0EB7225}" type="doc">
      <dgm:prSet loTypeId="urn:microsoft.com/office/officeart/2005/8/layout/radial4" loCatId="relationship" qsTypeId="urn:microsoft.com/office/officeart/2005/8/quickstyle/3d3" qsCatId="3D" csTypeId="urn:microsoft.com/office/officeart/2005/8/colors/accent1_1" csCatId="accent1" phldr="1"/>
      <dgm:spPr/>
      <dgm:t>
        <a:bodyPr/>
        <a:lstStyle/>
        <a:p>
          <a:endParaRPr lang="mk-MK"/>
        </a:p>
      </dgm:t>
    </dgm:pt>
    <dgm:pt modelId="{C2538059-8A29-4909-B816-2F7DC216EE6D}">
      <dgm:prSet phldrT="[Text]"/>
      <dgm:spPr/>
      <dgm:t>
        <a:bodyPr/>
        <a:lstStyle/>
        <a:p>
          <a:pPr algn="ctr"/>
          <a:r>
            <a:rPr lang="mk-MK"/>
            <a:t>Поголема конкуренција за поголема општествена благосостојба</a:t>
          </a:r>
        </a:p>
      </dgm:t>
    </dgm:pt>
    <dgm:pt modelId="{BB490125-7EBD-4883-BB69-8C2F5BF5C272}" type="parTrans" cxnId="{0CA3E762-443F-4C02-B8E0-6B948145B129}">
      <dgm:prSet/>
      <dgm:spPr/>
      <dgm:t>
        <a:bodyPr/>
        <a:lstStyle/>
        <a:p>
          <a:pPr algn="ctr"/>
          <a:endParaRPr lang="mk-MK"/>
        </a:p>
      </dgm:t>
    </dgm:pt>
    <dgm:pt modelId="{B3ECA8E0-6152-4556-9E1C-083B91E8E238}" type="sibTrans" cxnId="{0CA3E762-443F-4C02-B8E0-6B948145B129}">
      <dgm:prSet/>
      <dgm:spPr/>
      <dgm:t>
        <a:bodyPr/>
        <a:lstStyle/>
        <a:p>
          <a:pPr algn="ctr"/>
          <a:endParaRPr lang="mk-MK"/>
        </a:p>
      </dgm:t>
    </dgm:pt>
    <dgm:pt modelId="{EEF1F1E6-4007-4295-B0F9-504E4E6E8363}">
      <dgm:prSet phldrT="[Text]" custT="1"/>
      <dgm:spPr/>
      <dgm:t>
        <a:bodyPr/>
        <a:lstStyle/>
        <a:p>
          <a:pPr algn="ctr"/>
          <a:r>
            <a:rPr lang="mk-MK" sz="1000"/>
            <a:t>Бизнис сектор</a:t>
          </a:r>
        </a:p>
      </dgm:t>
    </dgm:pt>
    <dgm:pt modelId="{31DF0C02-2555-49FD-AFE1-7321977CA326}" type="parTrans" cxnId="{79548C23-51E6-4F5C-BD5E-99D803E96740}">
      <dgm:prSet/>
      <dgm:spPr/>
      <dgm:t>
        <a:bodyPr/>
        <a:lstStyle/>
        <a:p>
          <a:pPr algn="ctr"/>
          <a:endParaRPr lang="mk-MK"/>
        </a:p>
      </dgm:t>
    </dgm:pt>
    <dgm:pt modelId="{921A96C2-4334-4FC1-8F8D-B255FDE0EE93}" type="sibTrans" cxnId="{79548C23-51E6-4F5C-BD5E-99D803E96740}">
      <dgm:prSet/>
      <dgm:spPr/>
      <dgm:t>
        <a:bodyPr/>
        <a:lstStyle/>
        <a:p>
          <a:pPr algn="ctr"/>
          <a:endParaRPr lang="mk-MK"/>
        </a:p>
      </dgm:t>
    </dgm:pt>
    <dgm:pt modelId="{2B232470-9AAF-4EA0-AAE1-BAE627A8D07C}">
      <dgm:prSet phldrT="[Text]" custT="1"/>
      <dgm:spPr/>
      <dgm:t>
        <a:bodyPr/>
        <a:lstStyle/>
        <a:p>
          <a:pPr algn="ctr"/>
          <a:r>
            <a:rPr lang="mk-MK" sz="1000">
              <a:latin typeface="Times New Roman" pitchFamily="18" charset="0"/>
              <a:cs typeface="Times New Roman" pitchFamily="18" charset="0"/>
            </a:rPr>
            <a:t>Владин сектор</a:t>
          </a:r>
        </a:p>
      </dgm:t>
    </dgm:pt>
    <dgm:pt modelId="{0C3CF722-9F02-41E1-8F89-A518643D3E72}" type="parTrans" cxnId="{33C1B5FC-361C-4F31-A825-A6F0E083F832}">
      <dgm:prSet/>
      <dgm:spPr/>
      <dgm:t>
        <a:bodyPr/>
        <a:lstStyle/>
        <a:p>
          <a:pPr algn="ctr"/>
          <a:endParaRPr lang="mk-MK"/>
        </a:p>
      </dgm:t>
    </dgm:pt>
    <dgm:pt modelId="{17A146E8-BFE0-4474-98B3-79FAA68D0408}" type="sibTrans" cxnId="{33C1B5FC-361C-4F31-A825-A6F0E083F832}">
      <dgm:prSet/>
      <dgm:spPr/>
      <dgm:t>
        <a:bodyPr/>
        <a:lstStyle/>
        <a:p>
          <a:pPr algn="ctr"/>
          <a:endParaRPr lang="mk-MK"/>
        </a:p>
      </dgm:t>
    </dgm:pt>
    <dgm:pt modelId="{F9A31586-A3EB-4A3C-B772-3BD8241FD8A5}">
      <dgm:prSet phldrT="[Text]"/>
      <dgm:spPr/>
      <dgm:t>
        <a:bodyPr/>
        <a:lstStyle/>
        <a:p>
          <a:pPr algn="ctr"/>
          <a:r>
            <a:rPr lang="mk-MK"/>
            <a:t>Сектор на домаќинствата (потрошувачи)</a:t>
          </a:r>
        </a:p>
      </dgm:t>
    </dgm:pt>
    <dgm:pt modelId="{246A0448-CCC2-4307-A5A6-7C25A9A42E29}" type="parTrans" cxnId="{DDE53B10-6577-4A7E-9826-8BCECF203005}">
      <dgm:prSet/>
      <dgm:spPr/>
      <dgm:t>
        <a:bodyPr/>
        <a:lstStyle/>
        <a:p>
          <a:pPr algn="ctr"/>
          <a:endParaRPr lang="mk-MK"/>
        </a:p>
      </dgm:t>
    </dgm:pt>
    <dgm:pt modelId="{50A14B0E-A37F-457C-A7F8-B0E20493D027}" type="sibTrans" cxnId="{DDE53B10-6577-4A7E-9826-8BCECF203005}">
      <dgm:prSet/>
      <dgm:spPr/>
      <dgm:t>
        <a:bodyPr/>
        <a:lstStyle/>
        <a:p>
          <a:pPr algn="ctr"/>
          <a:endParaRPr lang="mk-MK"/>
        </a:p>
      </dgm:t>
    </dgm:pt>
    <dgm:pt modelId="{DFD0DD53-E8BE-40F0-B394-3803E017607D}" type="pres">
      <dgm:prSet presAssocID="{F46501AD-AA55-4E23-8FB6-D303F0EB7225}" presName="cycle" presStyleCnt="0">
        <dgm:presLayoutVars>
          <dgm:chMax val="1"/>
          <dgm:dir/>
          <dgm:animLvl val="ctr"/>
          <dgm:resizeHandles val="exact"/>
        </dgm:presLayoutVars>
      </dgm:prSet>
      <dgm:spPr/>
      <dgm:t>
        <a:bodyPr/>
        <a:lstStyle/>
        <a:p>
          <a:endParaRPr lang="en-US"/>
        </a:p>
      </dgm:t>
    </dgm:pt>
    <dgm:pt modelId="{DEE9B231-14C3-41F8-9378-76BAFB90ED3A}" type="pres">
      <dgm:prSet presAssocID="{C2538059-8A29-4909-B816-2F7DC216EE6D}" presName="centerShape" presStyleLbl="node0" presStyleIdx="0" presStyleCnt="1"/>
      <dgm:spPr/>
      <dgm:t>
        <a:bodyPr/>
        <a:lstStyle/>
        <a:p>
          <a:endParaRPr lang="en-US"/>
        </a:p>
      </dgm:t>
    </dgm:pt>
    <dgm:pt modelId="{E7017DEB-C1C6-4AF6-9F1B-133972CDADF0}" type="pres">
      <dgm:prSet presAssocID="{31DF0C02-2555-49FD-AFE1-7321977CA326}" presName="parTrans" presStyleLbl="bgSibTrans2D1" presStyleIdx="0" presStyleCnt="3"/>
      <dgm:spPr/>
      <dgm:t>
        <a:bodyPr/>
        <a:lstStyle/>
        <a:p>
          <a:endParaRPr lang="en-US"/>
        </a:p>
      </dgm:t>
    </dgm:pt>
    <dgm:pt modelId="{81184F43-CA1F-4285-A82A-D3CAC6B64D81}" type="pres">
      <dgm:prSet presAssocID="{EEF1F1E6-4007-4295-B0F9-504E4E6E8363}" presName="node" presStyleLbl="node1" presStyleIdx="0" presStyleCnt="3">
        <dgm:presLayoutVars>
          <dgm:bulletEnabled val="1"/>
        </dgm:presLayoutVars>
      </dgm:prSet>
      <dgm:spPr/>
      <dgm:t>
        <a:bodyPr/>
        <a:lstStyle/>
        <a:p>
          <a:endParaRPr lang="en-US"/>
        </a:p>
      </dgm:t>
    </dgm:pt>
    <dgm:pt modelId="{CBA483C2-D3D6-4FC8-936C-3F8745E93C7A}" type="pres">
      <dgm:prSet presAssocID="{0C3CF722-9F02-41E1-8F89-A518643D3E72}" presName="parTrans" presStyleLbl="bgSibTrans2D1" presStyleIdx="1" presStyleCnt="3"/>
      <dgm:spPr/>
      <dgm:t>
        <a:bodyPr/>
        <a:lstStyle/>
        <a:p>
          <a:endParaRPr lang="en-US"/>
        </a:p>
      </dgm:t>
    </dgm:pt>
    <dgm:pt modelId="{B892E4A3-FFFD-4796-9AE2-BB583BD94357}" type="pres">
      <dgm:prSet presAssocID="{2B232470-9AAF-4EA0-AAE1-BAE627A8D07C}" presName="node" presStyleLbl="node1" presStyleIdx="1" presStyleCnt="3">
        <dgm:presLayoutVars>
          <dgm:bulletEnabled val="1"/>
        </dgm:presLayoutVars>
      </dgm:prSet>
      <dgm:spPr/>
      <dgm:t>
        <a:bodyPr/>
        <a:lstStyle/>
        <a:p>
          <a:endParaRPr lang="mk-MK"/>
        </a:p>
      </dgm:t>
    </dgm:pt>
    <dgm:pt modelId="{7BB1C92D-8ADC-481B-8797-2C9130B2149D}" type="pres">
      <dgm:prSet presAssocID="{246A0448-CCC2-4307-A5A6-7C25A9A42E29}" presName="parTrans" presStyleLbl="bgSibTrans2D1" presStyleIdx="2" presStyleCnt="3"/>
      <dgm:spPr/>
      <dgm:t>
        <a:bodyPr/>
        <a:lstStyle/>
        <a:p>
          <a:endParaRPr lang="en-US"/>
        </a:p>
      </dgm:t>
    </dgm:pt>
    <dgm:pt modelId="{90F10ECD-783F-46B2-87D2-6A0EDFDFFA95}" type="pres">
      <dgm:prSet presAssocID="{F9A31586-A3EB-4A3C-B772-3BD8241FD8A5}" presName="node" presStyleLbl="node1" presStyleIdx="2" presStyleCnt="3">
        <dgm:presLayoutVars>
          <dgm:bulletEnabled val="1"/>
        </dgm:presLayoutVars>
      </dgm:prSet>
      <dgm:spPr/>
      <dgm:t>
        <a:bodyPr/>
        <a:lstStyle/>
        <a:p>
          <a:endParaRPr lang="mk-MK"/>
        </a:p>
      </dgm:t>
    </dgm:pt>
  </dgm:ptLst>
  <dgm:cxnLst>
    <dgm:cxn modelId="{589A90CD-1302-4EC6-8D50-D0A5A14107F5}" type="presOf" srcId="{0C3CF722-9F02-41E1-8F89-A518643D3E72}" destId="{CBA483C2-D3D6-4FC8-936C-3F8745E93C7A}" srcOrd="0" destOrd="0" presId="urn:microsoft.com/office/officeart/2005/8/layout/radial4"/>
    <dgm:cxn modelId="{F1FAEDCB-DBE5-4193-8985-CE2F957F7A78}" type="presOf" srcId="{F46501AD-AA55-4E23-8FB6-D303F0EB7225}" destId="{DFD0DD53-E8BE-40F0-B394-3803E017607D}" srcOrd="0" destOrd="0" presId="urn:microsoft.com/office/officeart/2005/8/layout/radial4"/>
    <dgm:cxn modelId="{39989CFD-6C06-4D89-BFF5-98ABB1080589}" type="presOf" srcId="{2B232470-9AAF-4EA0-AAE1-BAE627A8D07C}" destId="{B892E4A3-FFFD-4796-9AE2-BB583BD94357}" srcOrd="0" destOrd="0" presId="urn:microsoft.com/office/officeart/2005/8/layout/radial4"/>
    <dgm:cxn modelId="{BC89E2DE-F237-47E7-8E7E-0BEDF18C8992}" type="presOf" srcId="{31DF0C02-2555-49FD-AFE1-7321977CA326}" destId="{E7017DEB-C1C6-4AF6-9F1B-133972CDADF0}" srcOrd="0" destOrd="0" presId="urn:microsoft.com/office/officeart/2005/8/layout/radial4"/>
    <dgm:cxn modelId="{0CA3E762-443F-4C02-B8E0-6B948145B129}" srcId="{F46501AD-AA55-4E23-8FB6-D303F0EB7225}" destId="{C2538059-8A29-4909-B816-2F7DC216EE6D}" srcOrd="0" destOrd="0" parTransId="{BB490125-7EBD-4883-BB69-8C2F5BF5C272}" sibTransId="{B3ECA8E0-6152-4556-9E1C-083B91E8E238}"/>
    <dgm:cxn modelId="{12EBF999-BE6F-461A-A795-7417FF57DEAB}" type="presOf" srcId="{246A0448-CCC2-4307-A5A6-7C25A9A42E29}" destId="{7BB1C92D-8ADC-481B-8797-2C9130B2149D}" srcOrd="0" destOrd="0" presId="urn:microsoft.com/office/officeart/2005/8/layout/radial4"/>
    <dgm:cxn modelId="{F366866D-143D-4038-82DE-DD69B61DE6B8}" type="presOf" srcId="{EEF1F1E6-4007-4295-B0F9-504E4E6E8363}" destId="{81184F43-CA1F-4285-A82A-D3CAC6B64D81}" srcOrd="0" destOrd="0" presId="urn:microsoft.com/office/officeart/2005/8/layout/radial4"/>
    <dgm:cxn modelId="{79548C23-51E6-4F5C-BD5E-99D803E96740}" srcId="{C2538059-8A29-4909-B816-2F7DC216EE6D}" destId="{EEF1F1E6-4007-4295-B0F9-504E4E6E8363}" srcOrd="0" destOrd="0" parTransId="{31DF0C02-2555-49FD-AFE1-7321977CA326}" sibTransId="{921A96C2-4334-4FC1-8F8D-B255FDE0EE93}"/>
    <dgm:cxn modelId="{FB57F9D4-8EA1-4D77-BDBC-DCB58EDE556D}" type="presOf" srcId="{F9A31586-A3EB-4A3C-B772-3BD8241FD8A5}" destId="{90F10ECD-783F-46B2-87D2-6A0EDFDFFA95}" srcOrd="0" destOrd="0" presId="urn:microsoft.com/office/officeart/2005/8/layout/radial4"/>
    <dgm:cxn modelId="{DDE53B10-6577-4A7E-9826-8BCECF203005}" srcId="{C2538059-8A29-4909-B816-2F7DC216EE6D}" destId="{F9A31586-A3EB-4A3C-B772-3BD8241FD8A5}" srcOrd="2" destOrd="0" parTransId="{246A0448-CCC2-4307-A5A6-7C25A9A42E29}" sibTransId="{50A14B0E-A37F-457C-A7F8-B0E20493D027}"/>
    <dgm:cxn modelId="{7CBA2BF1-5F06-47CF-A9E7-F06881932F53}" type="presOf" srcId="{C2538059-8A29-4909-B816-2F7DC216EE6D}" destId="{DEE9B231-14C3-41F8-9378-76BAFB90ED3A}" srcOrd="0" destOrd="0" presId="urn:microsoft.com/office/officeart/2005/8/layout/radial4"/>
    <dgm:cxn modelId="{33C1B5FC-361C-4F31-A825-A6F0E083F832}" srcId="{C2538059-8A29-4909-B816-2F7DC216EE6D}" destId="{2B232470-9AAF-4EA0-AAE1-BAE627A8D07C}" srcOrd="1" destOrd="0" parTransId="{0C3CF722-9F02-41E1-8F89-A518643D3E72}" sibTransId="{17A146E8-BFE0-4474-98B3-79FAA68D0408}"/>
    <dgm:cxn modelId="{85746B33-0526-4213-83F8-ADA2A9D74100}" type="presParOf" srcId="{DFD0DD53-E8BE-40F0-B394-3803E017607D}" destId="{DEE9B231-14C3-41F8-9378-76BAFB90ED3A}" srcOrd="0" destOrd="0" presId="urn:microsoft.com/office/officeart/2005/8/layout/radial4"/>
    <dgm:cxn modelId="{4BE3922E-C7FB-4738-AB37-B7B24CC27190}" type="presParOf" srcId="{DFD0DD53-E8BE-40F0-B394-3803E017607D}" destId="{E7017DEB-C1C6-4AF6-9F1B-133972CDADF0}" srcOrd="1" destOrd="0" presId="urn:microsoft.com/office/officeart/2005/8/layout/radial4"/>
    <dgm:cxn modelId="{2917EC23-F3D6-49BA-A8FD-3777D6DF13D0}" type="presParOf" srcId="{DFD0DD53-E8BE-40F0-B394-3803E017607D}" destId="{81184F43-CA1F-4285-A82A-D3CAC6B64D81}" srcOrd="2" destOrd="0" presId="urn:microsoft.com/office/officeart/2005/8/layout/radial4"/>
    <dgm:cxn modelId="{71D1BA3A-887C-4B7B-B264-A07DABF56196}" type="presParOf" srcId="{DFD0DD53-E8BE-40F0-B394-3803E017607D}" destId="{CBA483C2-D3D6-4FC8-936C-3F8745E93C7A}" srcOrd="3" destOrd="0" presId="urn:microsoft.com/office/officeart/2005/8/layout/radial4"/>
    <dgm:cxn modelId="{8DA7F47B-662B-4ED6-B088-68720204CD50}" type="presParOf" srcId="{DFD0DD53-E8BE-40F0-B394-3803E017607D}" destId="{B892E4A3-FFFD-4796-9AE2-BB583BD94357}" srcOrd="4" destOrd="0" presId="urn:microsoft.com/office/officeart/2005/8/layout/radial4"/>
    <dgm:cxn modelId="{137EBDF7-3FB5-4DEE-AB16-17C9DD8056CA}" type="presParOf" srcId="{DFD0DD53-E8BE-40F0-B394-3803E017607D}" destId="{7BB1C92D-8ADC-481B-8797-2C9130B2149D}" srcOrd="5" destOrd="0" presId="urn:microsoft.com/office/officeart/2005/8/layout/radial4"/>
    <dgm:cxn modelId="{24079305-DFE5-42D4-A770-00712F12A407}" type="presParOf" srcId="{DFD0DD53-E8BE-40F0-B394-3803E017607D}" destId="{90F10ECD-783F-46B2-87D2-6A0EDFDFFA95}" srcOrd="6"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4F5A6D-1D21-44A2-A7B7-38A190DFC190}"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mk-MK"/>
        </a:p>
      </dgm:t>
    </dgm:pt>
    <dgm:pt modelId="{BCD20375-B6B8-4BE7-B2F4-649D6B54600E}">
      <dgm:prSet phldrT="[Text]"/>
      <dgm:spPr/>
      <dgm:t>
        <a:bodyPr/>
        <a:lstStyle/>
        <a:p>
          <a:r>
            <a:rPr lang="mk-MK"/>
            <a:t>Законска поставеност и улога  на регулатоното тело</a:t>
          </a:r>
        </a:p>
      </dgm:t>
    </dgm:pt>
    <dgm:pt modelId="{A9B8FC36-FAEF-44F8-90DB-FB5DFC5A474A}" type="parTrans" cxnId="{8601E545-480C-4F2A-8D7E-93B26B73F626}">
      <dgm:prSet/>
      <dgm:spPr/>
      <dgm:t>
        <a:bodyPr/>
        <a:lstStyle/>
        <a:p>
          <a:endParaRPr lang="mk-MK"/>
        </a:p>
      </dgm:t>
    </dgm:pt>
    <dgm:pt modelId="{6A18441E-3236-4295-B106-32C25BF739BB}" type="sibTrans" cxnId="{8601E545-480C-4F2A-8D7E-93B26B73F626}">
      <dgm:prSet/>
      <dgm:spPr/>
      <dgm:t>
        <a:bodyPr/>
        <a:lstStyle/>
        <a:p>
          <a:endParaRPr lang="mk-MK"/>
        </a:p>
      </dgm:t>
    </dgm:pt>
    <dgm:pt modelId="{FE124A27-1DBB-4908-ABE7-7DFBC4DE18C9}">
      <dgm:prSet phldrT="[Text]"/>
      <dgm:spPr/>
      <dgm:t>
        <a:bodyPr/>
        <a:lstStyle/>
        <a:p>
          <a:r>
            <a:rPr lang="mk-MK"/>
            <a:t>Независност на менаџментот</a:t>
          </a:r>
        </a:p>
      </dgm:t>
    </dgm:pt>
    <dgm:pt modelId="{DED95B3C-07CD-4546-9690-CF244DB85A95}" type="parTrans" cxnId="{4BCD5ACC-A7D1-4733-8ED0-E1112C523F20}">
      <dgm:prSet/>
      <dgm:spPr/>
      <dgm:t>
        <a:bodyPr/>
        <a:lstStyle/>
        <a:p>
          <a:endParaRPr lang="mk-MK"/>
        </a:p>
      </dgm:t>
    </dgm:pt>
    <dgm:pt modelId="{0C911207-AC73-4856-928C-F61A7057E54C}" type="sibTrans" cxnId="{4BCD5ACC-A7D1-4733-8ED0-E1112C523F20}">
      <dgm:prSet/>
      <dgm:spPr/>
      <dgm:t>
        <a:bodyPr/>
        <a:lstStyle/>
        <a:p>
          <a:endParaRPr lang="mk-MK"/>
        </a:p>
      </dgm:t>
    </dgm:pt>
    <dgm:pt modelId="{9CFC94A0-7D61-45A1-AF86-0C51426042CE}">
      <dgm:prSet phldrT="[Text]"/>
      <dgm:spPr/>
      <dgm:t>
        <a:bodyPr/>
        <a:lstStyle/>
        <a:p>
          <a:r>
            <a:rPr lang="mk-MK"/>
            <a:t>Кадровски капацитет</a:t>
          </a:r>
        </a:p>
      </dgm:t>
    </dgm:pt>
    <dgm:pt modelId="{F8AB102B-B504-4CF0-B980-F741A86D0896}" type="parTrans" cxnId="{C60E55AE-FBFA-40E5-90E0-1382BD2BAEE4}">
      <dgm:prSet/>
      <dgm:spPr/>
      <dgm:t>
        <a:bodyPr/>
        <a:lstStyle/>
        <a:p>
          <a:endParaRPr lang="mk-MK"/>
        </a:p>
      </dgm:t>
    </dgm:pt>
    <dgm:pt modelId="{2C04DA94-92F9-43DE-9B00-1494D89B7155}" type="sibTrans" cxnId="{C60E55AE-FBFA-40E5-90E0-1382BD2BAEE4}">
      <dgm:prSet/>
      <dgm:spPr/>
      <dgm:t>
        <a:bodyPr/>
        <a:lstStyle/>
        <a:p>
          <a:endParaRPr lang="mk-MK"/>
        </a:p>
      </dgm:t>
    </dgm:pt>
    <dgm:pt modelId="{0B869DA4-0FEB-44F4-AEBB-44D792A4ED79}">
      <dgm:prSet/>
      <dgm:spPr/>
      <dgm:t>
        <a:bodyPr/>
        <a:lstStyle/>
        <a:p>
          <a:r>
            <a:rPr lang="mk-MK"/>
            <a:t>Транспарентност и отчетност</a:t>
          </a:r>
        </a:p>
      </dgm:t>
    </dgm:pt>
    <dgm:pt modelId="{4327FB24-7113-4A76-B1AE-8D3EFDCFC770}" type="parTrans" cxnId="{B3957876-77F9-4C7E-BAB7-57636FFFBA2B}">
      <dgm:prSet/>
      <dgm:spPr/>
      <dgm:t>
        <a:bodyPr/>
        <a:lstStyle/>
        <a:p>
          <a:endParaRPr lang="mk-MK"/>
        </a:p>
      </dgm:t>
    </dgm:pt>
    <dgm:pt modelId="{214477C7-724D-4C54-B45D-EDE08C63D5B7}" type="sibTrans" cxnId="{B3957876-77F9-4C7E-BAB7-57636FFFBA2B}">
      <dgm:prSet/>
      <dgm:spPr/>
      <dgm:t>
        <a:bodyPr/>
        <a:lstStyle/>
        <a:p>
          <a:endParaRPr lang="mk-MK"/>
        </a:p>
      </dgm:t>
    </dgm:pt>
    <dgm:pt modelId="{9D3BC7F3-E8F5-413F-8F35-627822F99DDF}">
      <dgm:prSet/>
      <dgm:spPr/>
      <dgm:t>
        <a:bodyPr/>
        <a:lstStyle/>
        <a:p>
          <a:r>
            <a:rPr lang="mk-MK"/>
            <a:t>Финансиска независнот</a:t>
          </a:r>
        </a:p>
      </dgm:t>
    </dgm:pt>
    <dgm:pt modelId="{8395BAB6-B3CF-42E7-B207-3D2D3465659F}" type="parTrans" cxnId="{99457EF6-CA20-4894-B157-489D20BC1D53}">
      <dgm:prSet/>
      <dgm:spPr/>
      <dgm:t>
        <a:bodyPr/>
        <a:lstStyle/>
        <a:p>
          <a:endParaRPr lang="mk-MK"/>
        </a:p>
      </dgm:t>
    </dgm:pt>
    <dgm:pt modelId="{D29C39EF-5180-4A36-AD62-9DEB0BC340B1}" type="sibTrans" cxnId="{99457EF6-CA20-4894-B157-489D20BC1D53}">
      <dgm:prSet/>
      <dgm:spPr/>
      <dgm:t>
        <a:bodyPr/>
        <a:lstStyle/>
        <a:p>
          <a:endParaRPr lang="mk-MK"/>
        </a:p>
      </dgm:t>
    </dgm:pt>
    <dgm:pt modelId="{15852FA2-32E5-47CC-9802-35098E6D5AA7}" type="pres">
      <dgm:prSet presAssocID="{134F5A6D-1D21-44A2-A7B7-38A190DFC190}" presName="linear" presStyleCnt="0">
        <dgm:presLayoutVars>
          <dgm:dir/>
          <dgm:animLvl val="lvl"/>
          <dgm:resizeHandles val="exact"/>
        </dgm:presLayoutVars>
      </dgm:prSet>
      <dgm:spPr/>
      <dgm:t>
        <a:bodyPr/>
        <a:lstStyle/>
        <a:p>
          <a:endParaRPr lang="en-US"/>
        </a:p>
      </dgm:t>
    </dgm:pt>
    <dgm:pt modelId="{F9A2B09C-14A2-4B13-AD1D-D450B907EE4C}" type="pres">
      <dgm:prSet presAssocID="{BCD20375-B6B8-4BE7-B2F4-649D6B54600E}" presName="parentLin" presStyleCnt="0"/>
      <dgm:spPr/>
    </dgm:pt>
    <dgm:pt modelId="{A5CAACCD-5BEC-4802-91E0-D8B568610A77}" type="pres">
      <dgm:prSet presAssocID="{BCD20375-B6B8-4BE7-B2F4-649D6B54600E}" presName="parentLeftMargin" presStyleLbl="node1" presStyleIdx="0" presStyleCnt="5"/>
      <dgm:spPr/>
      <dgm:t>
        <a:bodyPr/>
        <a:lstStyle/>
        <a:p>
          <a:endParaRPr lang="en-US"/>
        </a:p>
      </dgm:t>
    </dgm:pt>
    <dgm:pt modelId="{F811DC9B-3093-4FA6-9EE0-06D38654972C}" type="pres">
      <dgm:prSet presAssocID="{BCD20375-B6B8-4BE7-B2F4-649D6B54600E}" presName="parentText" presStyleLbl="node1" presStyleIdx="0" presStyleCnt="5">
        <dgm:presLayoutVars>
          <dgm:chMax val="0"/>
          <dgm:bulletEnabled val="1"/>
        </dgm:presLayoutVars>
      </dgm:prSet>
      <dgm:spPr/>
      <dgm:t>
        <a:bodyPr/>
        <a:lstStyle/>
        <a:p>
          <a:endParaRPr lang="mk-MK"/>
        </a:p>
      </dgm:t>
    </dgm:pt>
    <dgm:pt modelId="{6AFCD054-10CF-46E9-8EE6-F36C558CF2EF}" type="pres">
      <dgm:prSet presAssocID="{BCD20375-B6B8-4BE7-B2F4-649D6B54600E}" presName="negativeSpace" presStyleCnt="0"/>
      <dgm:spPr/>
    </dgm:pt>
    <dgm:pt modelId="{F0CFA0AD-7219-4B7F-8AD6-A2BD9B305170}" type="pres">
      <dgm:prSet presAssocID="{BCD20375-B6B8-4BE7-B2F4-649D6B54600E}" presName="childText" presStyleLbl="conFgAcc1" presStyleIdx="0" presStyleCnt="5">
        <dgm:presLayoutVars>
          <dgm:bulletEnabled val="1"/>
        </dgm:presLayoutVars>
      </dgm:prSet>
      <dgm:spPr/>
    </dgm:pt>
    <dgm:pt modelId="{E888714A-CE34-4A17-9239-C063BBAE2E2A}" type="pres">
      <dgm:prSet presAssocID="{6A18441E-3236-4295-B106-32C25BF739BB}" presName="spaceBetweenRectangles" presStyleCnt="0"/>
      <dgm:spPr/>
    </dgm:pt>
    <dgm:pt modelId="{C2343D40-2C92-489E-9E1B-28184CD0D137}" type="pres">
      <dgm:prSet presAssocID="{0B869DA4-0FEB-44F4-AEBB-44D792A4ED79}" presName="parentLin" presStyleCnt="0"/>
      <dgm:spPr/>
    </dgm:pt>
    <dgm:pt modelId="{3D4137C9-80CB-4287-9037-11392FA6CB88}" type="pres">
      <dgm:prSet presAssocID="{0B869DA4-0FEB-44F4-AEBB-44D792A4ED79}" presName="parentLeftMargin" presStyleLbl="node1" presStyleIdx="0" presStyleCnt="5"/>
      <dgm:spPr/>
      <dgm:t>
        <a:bodyPr/>
        <a:lstStyle/>
        <a:p>
          <a:endParaRPr lang="en-US"/>
        </a:p>
      </dgm:t>
    </dgm:pt>
    <dgm:pt modelId="{71C9363A-88B3-4106-AA02-B8CC3797D64E}" type="pres">
      <dgm:prSet presAssocID="{0B869DA4-0FEB-44F4-AEBB-44D792A4ED79}" presName="parentText" presStyleLbl="node1" presStyleIdx="1" presStyleCnt="5">
        <dgm:presLayoutVars>
          <dgm:chMax val="0"/>
          <dgm:bulletEnabled val="1"/>
        </dgm:presLayoutVars>
      </dgm:prSet>
      <dgm:spPr/>
      <dgm:t>
        <a:bodyPr/>
        <a:lstStyle/>
        <a:p>
          <a:endParaRPr lang="mk-MK"/>
        </a:p>
      </dgm:t>
    </dgm:pt>
    <dgm:pt modelId="{2139D282-9A13-4856-B946-8958E495B5FD}" type="pres">
      <dgm:prSet presAssocID="{0B869DA4-0FEB-44F4-AEBB-44D792A4ED79}" presName="negativeSpace" presStyleCnt="0"/>
      <dgm:spPr/>
    </dgm:pt>
    <dgm:pt modelId="{00B13A0C-69AB-4C00-9D75-ECD939C5353D}" type="pres">
      <dgm:prSet presAssocID="{0B869DA4-0FEB-44F4-AEBB-44D792A4ED79}" presName="childText" presStyleLbl="conFgAcc1" presStyleIdx="1" presStyleCnt="5">
        <dgm:presLayoutVars>
          <dgm:bulletEnabled val="1"/>
        </dgm:presLayoutVars>
      </dgm:prSet>
      <dgm:spPr/>
    </dgm:pt>
    <dgm:pt modelId="{06FA10A8-7117-41F9-B98E-53499CD5A687}" type="pres">
      <dgm:prSet presAssocID="{214477C7-724D-4C54-B45D-EDE08C63D5B7}" presName="spaceBetweenRectangles" presStyleCnt="0"/>
      <dgm:spPr/>
    </dgm:pt>
    <dgm:pt modelId="{672FB68D-83EF-444E-9975-A4CA2CA53A87}" type="pres">
      <dgm:prSet presAssocID="{9D3BC7F3-E8F5-413F-8F35-627822F99DDF}" presName="parentLin" presStyleCnt="0"/>
      <dgm:spPr/>
    </dgm:pt>
    <dgm:pt modelId="{A20C6A22-A481-4AD9-BC42-0385614E7F1B}" type="pres">
      <dgm:prSet presAssocID="{9D3BC7F3-E8F5-413F-8F35-627822F99DDF}" presName="parentLeftMargin" presStyleLbl="node1" presStyleIdx="1" presStyleCnt="5"/>
      <dgm:spPr/>
      <dgm:t>
        <a:bodyPr/>
        <a:lstStyle/>
        <a:p>
          <a:endParaRPr lang="en-US"/>
        </a:p>
      </dgm:t>
    </dgm:pt>
    <dgm:pt modelId="{B0BD7DE2-7934-40E9-9151-3D15451475D0}" type="pres">
      <dgm:prSet presAssocID="{9D3BC7F3-E8F5-413F-8F35-627822F99DDF}" presName="parentText" presStyleLbl="node1" presStyleIdx="2" presStyleCnt="5">
        <dgm:presLayoutVars>
          <dgm:chMax val="0"/>
          <dgm:bulletEnabled val="1"/>
        </dgm:presLayoutVars>
      </dgm:prSet>
      <dgm:spPr/>
      <dgm:t>
        <a:bodyPr/>
        <a:lstStyle/>
        <a:p>
          <a:endParaRPr lang="en-US"/>
        </a:p>
      </dgm:t>
    </dgm:pt>
    <dgm:pt modelId="{BF826E5E-B746-4205-A861-345A73DE52AE}" type="pres">
      <dgm:prSet presAssocID="{9D3BC7F3-E8F5-413F-8F35-627822F99DDF}" presName="negativeSpace" presStyleCnt="0"/>
      <dgm:spPr/>
    </dgm:pt>
    <dgm:pt modelId="{AAC307AA-87FC-4DBA-B499-EF0876F65298}" type="pres">
      <dgm:prSet presAssocID="{9D3BC7F3-E8F5-413F-8F35-627822F99DDF}" presName="childText" presStyleLbl="conFgAcc1" presStyleIdx="2" presStyleCnt="5">
        <dgm:presLayoutVars>
          <dgm:bulletEnabled val="1"/>
        </dgm:presLayoutVars>
      </dgm:prSet>
      <dgm:spPr/>
    </dgm:pt>
    <dgm:pt modelId="{8654AD29-A2BB-4AA6-A378-0DF482A4D5DB}" type="pres">
      <dgm:prSet presAssocID="{D29C39EF-5180-4A36-AD62-9DEB0BC340B1}" presName="spaceBetweenRectangles" presStyleCnt="0"/>
      <dgm:spPr/>
    </dgm:pt>
    <dgm:pt modelId="{B094B55A-C429-41B7-AC7C-CDD680E2B3EA}" type="pres">
      <dgm:prSet presAssocID="{FE124A27-1DBB-4908-ABE7-7DFBC4DE18C9}" presName="parentLin" presStyleCnt="0"/>
      <dgm:spPr/>
    </dgm:pt>
    <dgm:pt modelId="{F63364BA-4378-4DEC-976D-93C25EC2EB08}" type="pres">
      <dgm:prSet presAssocID="{FE124A27-1DBB-4908-ABE7-7DFBC4DE18C9}" presName="parentLeftMargin" presStyleLbl="node1" presStyleIdx="2" presStyleCnt="5"/>
      <dgm:spPr/>
      <dgm:t>
        <a:bodyPr/>
        <a:lstStyle/>
        <a:p>
          <a:endParaRPr lang="en-US"/>
        </a:p>
      </dgm:t>
    </dgm:pt>
    <dgm:pt modelId="{554642CD-2673-467A-9F3C-30FE9D6DDAD8}" type="pres">
      <dgm:prSet presAssocID="{FE124A27-1DBB-4908-ABE7-7DFBC4DE18C9}" presName="parentText" presStyleLbl="node1" presStyleIdx="3" presStyleCnt="5">
        <dgm:presLayoutVars>
          <dgm:chMax val="0"/>
          <dgm:bulletEnabled val="1"/>
        </dgm:presLayoutVars>
      </dgm:prSet>
      <dgm:spPr/>
      <dgm:t>
        <a:bodyPr/>
        <a:lstStyle/>
        <a:p>
          <a:endParaRPr lang="mk-MK"/>
        </a:p>
      </dgm:t>
    </dgm:pt>
    <dgm:pt modelId="{E70D2BDB-6C21-4D9D-8E08-172213EA4ADD}" type="pres">
      <dgm:prSet presAssocID="{FE124A27-1DBB-4908-ABE7-7DFBC4DE18C9}" presName="negativeSpace" presStyleCnt="0"/>
      <dgm:spPr/>
    </dgm:pt>
    <dgm:pt modelId="{3415FCC4-8980-4F44-976E-3A07ACEA16BA}" type="pres">
      <dgm:prSet presAssocID="{FE124A27-1DBB-4908-ABE7-7DFBC4DE18C9}" presName="childText" presStyleLbl="conFgAcc1" presStyleIdx="3" presStyleCnt="5">
        <dgm:presLayoutVars>
          <dgm:bulletEnabled val="1"/>
        </dgm:presLayoutVars>
      </dgm:prSet>
      <dgm:spPr/>
    </dgm:pt>
    <dgm:pt modelId="{DD64BCD3-21B6-4FCC-89B6-03CD4280E0AF}" type="pres">
      <dgm:prSet presAssocID="{0C911207-AC73-4856-928C-F61A7057E54C}" presName="spaceBetweenRectangles" presStyleCnt="0"/>
      <dgm:spPr/>
    </dgm:pt>
    <dgm:pt modelId="{04CFAB49-52F6-4490-9890-41A83D1F48B7}" type="pres">
      <dgm:prSet presAssocID="{9CFC94A0-7D61-45A1-AF86-0C51426042CE}" presName="parentLin" presStyleCnt="0"/>
      <dgm:spPr/>
    </dgm:pt>
    <dgm:pt modelId="{325C85AF-8D11-4C2F-9417-E1159EBCF2CD}" type="pres">
      <dgm:prSet presAssocID="{9CFC94A0-7D61-45A1-AF86-0C51426042CE}" presName="parentLeftMargin" presStyleLbl="node1" presStyleIdx="3" presStyleCnt="5"/>
      <dgm:spPr/>
      <dgm:t>
        <a:bodyPr/>
        <a:lstStyle/>
        <a:p>
          <a:endParaRPr lang="en-US"/>
        </a:p>
      </dgm:t>
    </dgm:pt>
    <dgm:pt modelId="{055BAD41-CEA9-48E1-A77E-E2163CFA6864}" type="pres">
      <dgm:prSet presAssocID="{9CFC94A0-7D61-45A1-AF86-0C51426042CE}" presName="parentText" presStyleLbl="node1" presStyleIdx="4" presStyleCnt="5">
        <dgm:presLayoutVars>
          <dgm:chMax val="0"/>
          <dgm:bulletEnabled val="1"/>
        </dgm:presLayoutVars>
      </dgm:prSet>
      <dgm:spPr/>
      <dgm:t>
        <a:bodyPr/>
        <a:lstStyle/>
        <a:p>
          <a:endParaRPr lang="mk-MK"/>
        </a:p>
      </dgm:t>
    </dgm:pt>
    <dgm:pt modelId="{AEB8B4FD-18CE-4C89-8653-E1966A9F9E5B}" type="pres">
      <dgm:prSet presAssocID="{9CFC94A0-7D61-45A1-AF86-0C51426042CE}" presName="negativeSpace" presStyleCnt="0"/>
      <dgm:spPr/>
    </dgm:pt>
    <dgm:pt modelId="{3B4C3C9F-8BB5-4A02-A140-8890A2099DB7}" type="pres">
      <dgm:prSet presAssocID="{9CFC94A0-7D61-45A1-AF86-0C51426042CE}" presName="childText" presStyleLbl="conFgAcc1" presStyleIdx="4" presStyleCnt="5">
        <dgm:presLayoutVars>
          <dgm:bulletEnabled val="1"/>
        </dgm:presLayoutVars>
      </dgm:prSet>
      <dgm:spPr/>
    </dgm:pt>
  </dgm:ptLst>
  <dgm:cxnLst>
    <dgm:cxn modelId="{B970AA10-3782-4F0B-A069-861A82A960C4}" type="presOf" srcId="{0B869DA4-0FEB-44F4-AEBB-44D792A4ED79}" destId="{71C9363A-88B3-4106-AA02-B8CC3797D64E}" srcOrd="1" destOrd="0" presId="urn:microsoft.com/office/officeart/2005/8/layout/list1"/>
    <dgm:cxn modelId="{93F4EF40-47C5-4BDD-BBC7-2AA6009E7C82}" type="presOf" srcId="{9CFC94A0-7D61-45A1-AF86-0C51426042CE}" destId="{325C85AF-8D11-4C2F-9417-E1159EBCF2CD}" srcOrd="0" destOrd="0" presId="urn:microsoft.com/office/officeart/2005/8/layout/list1"/>
    <dgm:cxn modelId="{26E26A5A-EB40-4283-B278-2A831001A2E0}" type="presOf" srcId="{134F5A6D-1D21-44A2-A7B7-38A190DFC190}" destId="{15852FA2-32E5-47CC-9802-35098E6D5AA7}" srcOrd="0" destOrd="0" presId="urn:microsoft.com/office/officeart/2005/8/layout/list1"/>
    <dgm:cxn modelId="{749A41AD-E159-4425-8BCD-1CDA4726BEB2}" type="presOf" srcId="{FE124A27-1DBB-4908-ABE7-7DFBC4DE18C9}" destId="{554642CD-2673-467A-9F3C-30FE9D6DDAD8}" srcOrd="1" destOrd="0" presId="urn:microsoft.com/office/officeart/2005/8/layout/list1"/>
    <dgm:cxn modelId="{8601E545-480C-4F2A-8D7E-93B26B73F626}" srcId="{134F5A6D-1D21-44A2-A7B7-38A190DFC190}" destId="{BCD20375-B6B8-4BE7-B2F4-649D6B54600E}" srcOrd="0" destOrd="0" parTransId="{A9B8FC36-FAEF-44F8-90DB-FB5DFC5A474A}" sibTransId="{6A18441E-3236-4295-B106-32C25BF739BB}"/>
    <dgm:cxn modelId="{C60E55AE-FBFA-40E5-90E0-1382BD2BAEE4}" srcId="{134F5A6D-1D21-44A2-A7B7-38A190DFC190}" destId="{9CFC94A0-7D61-45A1-AF86-0C51426042CE}" srcOrd="4" destOrd="0" parTransId="{F8AB102B-B504-4CF0-B980-F741A86D0896}" sibTransId="{2C04DA94-92F9-43DE-9B00-1494D89B7155}"/>
    <dgm:cxn modelId="{4BCD5ACC-A7D1-4733-8ED0-E1112C523F20}" srcId="{134F5A6D-1D21-44A2-A7B7-38A190DFC190}" destId="{FE124A27-1DBB-4908-ABE7-7DFBC4DE18C9}" srcOrd="3" destOrd="0" parTransId="{DED95B3C-07CD-4546-9690-CF244DB85A95}" sibTransId="{0C911207-AC73-4856-928C-F61A7057E54C}"/>
    <dgm:cxn modelId="{1A0B00C6-291A-4424-82F4-E1298F145B99}" type="presOf" srcId="{BCD20375-B6B8-4BE7-B2F4-649D6B54600E}" destId="{A5CAACCD-5BEC-4802-91E0-D8B568610A77}" srcOrd="0" destOrd="0" presId="urn:microsoft.com/office/officeart/2005/8/layout/list1"/>
    <dgm:cxn modelId="{1CC2B3D9-4B9C-4783-A3B5-01520144BFA9}" type="presOf" srcId="{FE124A27-1DBB-4908-ABE7-7DFBC4DE18C9}" destId="{F63364BA-4378-4DEC-976D-93C25EC2EB08}" srcOrd="0" destOrd="0" presId="urn:microsoft.com/office/officeart/2005/8/layout/list1"/>
    <dgm:cxn modelId="{46FFB4BB-E488-4962-9838-19D0F539E254}" type="presOf" srcId="{9D3BC7F3-E8F5-413F-8F35-627822F99DDF}" destId="{A20C6A22-A481-4AD9-BC42-0385614E7F1B}" srcOrd="0" destOrd="0" presId="urn:microsoft.com/office/officeart/2005/8/layout/list1"/>
    <dgm:cxn modelId="{99457EF6-CA20-4894-B157-489D20BC1D53}" srcId="{134F5A6D-1D21-44A2-A7B7-38A190DFC190}" destId="{9D3BC7F3-E8F5-413F-8F35-627822F99DDF}" srcOrd="2" destOrd="0" parTransId="{8395BAB6-B3CF-42E7-B207-3D2D3465659F}" sibTransId="{D29C39EF-5180-4A36-AD62-9DEB0BC340B1}"/>
    <dgm:cxn modelId="{E1F43331-6660-4A72-9060-CF89E0238013}" type="presOf" srcId="{9D3BC7F3-E8F5-413F-8F35-627822F99DDF}" destId="{B0BD7DE2-7934-40E9-9151-3D15451475D0}" srcOrd="1" destOrd="0" presId="urn:microsoft.com/office/officeart/2005/8/layout/list1"/>
    <dgm:cxn modelId="{C403D025-9FE2-4F31-8537-5CD8F6E093B2}" type="presOf" srcId="{BCD20375-B6B8-4BE7-B2F4-649D6B54600E}" destId="{F811DC9B-3093-4FA6-9EE0-06D38654972C}" srcOrd="1" destOrd="0" presId="urn:microsoft.com/office/officeart/2005/8/layout/list1"/>
    <dgm:cxn modelId="{AF1C9A1B-4E0E-4627-88AE-27CAF9B8BB92}" type="presOf" srcId="{0B869DA4-0FEB-44F4-AEBB-44D792A4ED79}" destId="{3D4137C9-80CB-4287-9037-11392FA6CB88}" srcOrd="0" destOrd="0" presId="urn:microsoft.com/office/officeart/2005/8/layout/list1"/>
    <dgm:cxn modelId="{B3957876-77F9-4C7E-BAB7-57636FFFBA2B}" srcId="{134F5A6D-1D21-44A2-A7B7-38A190DFC190}" destId="{0B869DA4-0FEB-44F4-AEBB-44D792A4ED79}" srcOrd="1" destOrd="0" parTransId="{4327FB24-7113-4A76-B1AE-8D3EFDCFC770}" sibTransId="{214477C7-724D-4C54-B45D-EDE08C63D5B7}"/>
    <dgm:cxn modelId="{A34DF35D-3B5C-4EE5-921B-0F81FA171D76}" type="presOf" srcId="{9CFC94A0-7D61-45A1-AF86-0C51426042CE}" destId="{055BAD41-CEA9-48E1-A77E-E2163CFA6864}" srcOrd="1" destOrd="0" presId="urn:microsoft.com/office/officeart/2005/8/layout/list1"/>
    <dgm:cxn modelId="{4C70E85A-3252-43E0-85B8-3E7A4FB50036}" type="presParOf" srcId="{15852FA2-32E5-47CC-9802-35098E6D5AA7}" destId="{F9A2B09C-14A2-4B13-AD1D-D450B907EE4C}" srcOrd="0" destOrd="0" presId="urn:microsoft.com/office/officeart/2005/8/layout/list1"/>
    <dgm:cxn modelId="{21146776-176F-458B-9798-6A50F65C0FBD}" type="presParOf" srcId="{F9A2B09C-14A2-4B13-AD1D-D450B907EE4C}" destId="{A5CAACCD-5BEC-4802-91E0-D8B568610A77}" srcOrd="0" destOrd="0" presId="urn:microsoft.com/office/officeart/2005/8/layout/list1"/>
    <dgm:cxn modelId="{B91F1186-71B3-4093-8472-7EAEAECCFEA4}" type="presParOf" srcId="{F9A2B09C-14A2-4B13-AD1D-D450B907EE4C}" destId="{F811DC9B-3093-4FA6-9EE0-06D38654972C}" srcOrd="1" destOrd="0" presId="urn:microsoft.com/office/officeart/2005/8/layout/list1"/>
    <dgm:cxn modelId="{984C1FDD-AEE3-4B35-9B5B-1595C308026F}" type="presParOf" srcId="{15852FA2-32E5-47CC-9802-35098E6D5AA7}" destId="{6AFCD054-10CF-46E9-8EE6-F36C558CF2EF}" srcOrd="1" destOrd="0" presId="urn:microsoft.com/office/officeart/2005/8/layout/list1"/>
    <dgm:cxn modelId="{A2CA536F-06D5-4514-AFE0-40CEB62DC42A}" type="presParOf" srcId="{15852FA2-32E5-47CC-9802-35098E6D5AA7}" destId="{F0CFA0AD-7219-4B7F-8AD6-A2BD9B305170}" srcOrd="2" destOrd="0" presId="urn:microsoft.com/office/officeart/2005/8/layout/list1"/>
    <dgm:cxn modelId="{C4C270BD-2690-4E17-AB7D-C94E6DE4F2C1}" type="presParOf" srcId="{15852FA2-32E5-47CC-9802-35098E6D5AA7}" destId="{E888714A-CE34-4A17-9239-C063BBAE2E2A}" srcOrd="3" destOrd="0" presId="urn:microsoft.com/office/officeart/2005/8/layout/list1"/>
    <dgm:cxn modelId="{609835D1-7432-49DC-8D09-10DFFE6D6E7A}" type="presParOf" srcId="{15852FA2-32E5-47CC-9802-35098E6D5AA7}" destId="{C2343D40-2C92-489E-9E1B-28184CD0D137}" srcOrd="4" destOrd="0" presId="urn:microsoft.com/office/officeart/2005/8/layout/list1"/>
    <dgm:cxn modelId="{D1ACF3DD-D569-4939-872B-3B19FA3728E5}" type="presParOf" srcId="{C2343D40-2C92-489E-9E1B-28184CD0D137}" destId="{3D4137C9-80CB-4287-9037-11392FA6CB88}" srcOrd="0" destOrd="0" presId="urn:microsoft.com/office/officeart/2005/8/layout/list1"/>
    <dgm:cxn modelId="{91C3CFB2-AD12-4F50-B379-EF4F42190408}" type="presParOf" srcId="{C2343D40-2C92-489E-9E1B-28184CD0D137}" destId="{71C9363A-88B3-4106-AA02-B8CC3797D64E}" srcOrd="1" destOrd="0" presId="urn:microsoft.com/office/officeart/2005/8/layout/list1"/>
    <dgm:cxn modelId="{FA357E57-AC3C-49AC-85FB-C45BAC27859E}" type="presParOf" srcId="{15852FA2-32E5-47CC-9802-35098E6D5AA7}" destId="{2139D282-9A13-4856-B946-8958E495B5FD}" srcOrd="5" destOrd="0" presId="urn:microsoft.com/office/officeart/2005/8/layout/list1"/>
    <dgm:cxn modelId="{5EEB5912-C8DD-4357-A8ED-1BDB11283EA2}" type="presParOf" srcId="{15852FA2-32E5-47CC-9802-35098E6D5AA7}" destId="{00B13A0C-69AB-4C00-9D75-ECD939C5353D}" srcOrd="6" destOrd="0" presId="urn:microsoft.com/office/officeart/2005/8/layout/list1"/>
    <dgm:cxn modelId="{FE1D5E72-7A51-492B-B245-958176EF995C}" type="presParOf" srcId="{15852FA2-32E5-47CC-9802-35098E6D5AA7}" destId="{06FA10A8-7117-41F9-B98E-53499CD5A687}" srcOrd="7" destOrd="0" presId="urn:microsoft.com/office/officeart/2005/8/layout/list1"/>
    <dgm:cxn modelId="{C3640ABA-F103-4F32-A94A-AFB016A859BD}" type="presParOf" srcId="{15852FA2-32E5-47CC-9802-35098E6D5AA7}" destId="{672FB68D-83EF-444E-9975-A4CA2CA53A87}" srcOrd="8" destOrd="0" presId="urn:microsoft.com/office/officeart/2005/8/layout/list1"/>
    <dgm:cxn modelId="{BDC5DF3B-DEE3-49F1-8D50-B154B7FEB708}" type="presParOf" srcId="{672FB68D-83EF-444E-9975-A4CA2CA53A87}" destId="{A20C6A22-A481-4AD9-BC42-0385614E7F1B}" srcOrd="0" destOrd="0" presId="urn:microsoft.com/office/officeart/2005/8/layout/list1"/>
    <dgm:cxn modelId="{8997DFB1-53B3-4861-9E04-5020B2C978B5}" type="presParOf" srcId="{672FB68D-83EF-444E-9975-A4CA2CA53A87}" destId="{B0BD7DE2-7934-40E9-9151-3D15451475D0}" srcOrd="1" destOrd="0" presId="urn:microsoft.com/office/officeart/2005/8/layout/list1"/>
    <dgm:cxn modelId="{33445D72-472A-479B-8780-DB87FB249470}" type="presParOf" srcId="{15852FA2-32E5-47CC-9802-35098E6D5AA7}" destId="{BF826E5E-B746-4205-A861-345A73DE52AE}" srcOrd="9" destOrd="0" presId="urn:microsoft.com/office/officeart/2005/8/layout/list1"/>
    <dgm:cxn modelId="{3DE7D875-9710-4490-9E78-8198D90CFAE5}" type="presParOf" srcId="{15852FA2-32E5-47CC-9802-35098E6D5AA7}" destId="{AAC307AA-87FC-4DBA-B499-EF0876F65298}" srcOrd="10" destOrd="0" presId="urn:microsoft.com/office/officeart/2005/8/layout/list1"/>
    <dgm:cxn modelId="{6D4DDA43-CBF3-4FA3-8FA5-D1C994259EB2}" type="presParOf" srcId="{15852FA2-32E5-47CC-9802-35098E6D5AA7}" destId="{8654AD29-A2BB-4AA6-A378-0DF482A4D5DB}" srcOrd="11" destOrd="0" presId="urn:microsoft.com/office/officeart/2005/8/layout/list1"/>
    <dgm:cxn modelId="{694165BD-38E0-46E5-A9AE-615C5A08C76F}" type="presParOf" srcId="{15852FA2-32E5-47CC-9802-35098E6D5AA7}" destId="{B094B55A-C429-41B7-AC7C-CDD680E2B3EA}" srcOrd="12" destOrd="0" presId="urn:microsoft.com/office/officeart/2005/8/layout/list1"/>
    <dgm:cxn modelId="{C3AE235B-E831-4E53-8FA5-A417F02C5FA7}" type="presParOf" srcId="{B094B55A-C429-41B7-AC7C-CDD680E2B3EA}" destId="{F63364BA-4378-4DEC-976D-93C25EC2EB08}" srcOrd="0" destOrd="0" presId="urn:microsoft.com/office/officeart/2005/8/layout/list1"/>
    <dgm:cxn modelId="{438F3D2A-BF12-4549-814B-A76B92D15502}" type="presParOf" srcId="{B094B55A-C429-41B7-AC7C-CDD680E2B3EA}" destId="{554642CD-2673-467A-9F3C-30FE9D6DDAD8}" srcOrd="1" destOrd="0" presId="urn:microsoft.com/office/officeart/2005/8/layout/list1"/>
    <dgm:cxn modelId="{A7F46541-4861-4882-BA41-81A315972898}" type="presParOf" srcId="{15852FA2-32E5-47CC-9802-35098E6D5AA7}" destId="{E70D2BDB-6C21-4D9D-8E08-172213EA4ADD}" srcOrd="13" destOrd="0" presId="urn:microsoft.com/office/officeart/2005/8/layout/list1"/>
    <dgm:cxn modelId="{38ECADB4-5C9B-4D56-8097-A6705575F0EB}" type="presParOf" srcId="{15852FA2-32E5-47CC-9802-35098E6D5AA7}" destId="{3415FCC4-8980-4F44-976E-3A07ACEA16BA}" srcOrd="14" destOrd="0" presId="urn:microsoft.com/office/officeart/2005/8/layout/list1"/>
    <dgm:cxn modelId="{1A146807-2BC5-4A5B-BDBC-8AAC3DFF2FD6}" type="presParOf" srcId="{15852FA2-32E5-47CC-9802-35098E6D5AA7}" destId="{DD64BCD3-21B6-4FCC-89B6-03CD4280E0AF}" srcOrd="15" destOrd="0" presId="urn:microsoft.com/office/officeart/2005/8/layout/list1"/>
    <dgm:cxn modelId="{604738F0-57FD-4F5E-802A-DAFEA9CE0667}" type="presParOf" srcId="{15852FA2-32E5-47CC-9802-35098E6D5AA7}" destId="{04CFAB49-52F6-4490-9890-41A83D1F48B7}" srcOrd="16" destOrd="0" presId="urn:microsoft.com/office/officeart/2005/8/layout/list1"/>
    <dgm:cxn modelId="{10ECB7E5-FBCD-44F2-B1F0-A2AE46FA6129}" type="presParOf" srcId="{04CFAB49-52F6-4490-9890-41A83D1F48B7}" destId="{325C85AF-8D11-4C2F-9417-E1159EBCF2CD}" srcOrd="0" destOrd="0" presId="urn:microsoft.com/office/officeart/2005/8/layout/list1"/>
    <dgm:cxn modelId="{42F878DD-080F-4397-A720-7F33F70849B0}" type="presParOf" srcId="{04CFAB49-52F6-4490-9890-41A83D1F48B7}" destId="{055BAD41-CEA9-48E1-A77E-E2163CFA6864}" srcOrd="1" destOrd="0" presId="urn:microsoft.com/office/officeart/2005/8/layout/list1"/>
    <dgm:cxn modelId="{ADA2BDD5-5BCD-4707-B972-66E7909656BE}" type="presParOf" srcId="{15852FA2-32E5-47CC-9802-35098E6D5AA7}" destId="{AEB8B4FD-18CE-4C89-8653-E1966A9F9E5B}" srcOrd="17" destOrd="0" presId="urn:microsoft.com/office/officeart/2005/8/layout/list1"/>
    <dgm:cxn modelId="{163385A4-E49D-4D1D-9EC9-A4BBFDE04D1E}" type="presParOf" srcId="{15852FA2-32E5-47CC-9802-35098E6D5AA7}" destId="{3B4C3C9F-8BB5-4A02-A140-8890A2099DB7}" srcOrd="18"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E9B231-14C3-41F8-9378-76BAFB90ED3A}">
      <dsp:nvSpPr>
        <dsp:cNvPr id="0" name=""/>
        <dsp:cNvSpPr/>
      </dsp:nvSpPr>
      <dsp:spPr>
        <a:xfrm>
          <a:off x="2039044" y="1227213"/>
          <a:ext cx="1028748" cy="1028748"/>
        </a:xfrm>
        <a:prstGeom prst="ellipse">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mk-MK" sz="900" kern="1200"/>
            <a:t>Поголема конкуренција за поголема општествена благосостојба</a:t>
          </a:r>
        </a:p>
      </dsp:txBody>
      <dsp:txXfrm>
        <a:off x="2189701" y="1377870"/>
        <a:ext cx="727434" cy="727434"/>
      </dsp:txXfrm>
    </dsp:sp>
    <dsp:sp modelId="{E7017DEB-C1C6-4AF6-9F1B-133972CDADF0}">
      <dsp:nvSpPr>
        <dsp:cNvPr id="0" name=""/>
        <dsp:cNvSpPr/>
      </dsp:nvSpPr>
      <dsp:spPr>
        <a:xfrm rot="12900000">
          <a:off x="1376069" y="1047099"/>
          <a:ext cx="789759" cy="293193"/>
        </a:xfrm>
        <a:prstGeom prst="lef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81184F43-CA1F-4285-A82A-D3CAC6B64D81}">
      <dsp:nvSpPr>
        <dsp:cNvPr id="0" name=""/>
        <dsp:cNvSpPr/>
      </dsp:nvSpPr>
      <dsp:spPr>
        <a:xfrm>
          <a:off x="958826" y="576278"/>
          <a:ext cx="977311" cy="781848"/>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mk-MK" sz="1000" kern="1200"/>
            <a:t>Бизнис сектор</a:t>
          </a:r>
        </a:p>
      </dsp:txBody>
      <dsp:txXfrm>
        <a:off x="981726" y="599178"/>
        <a:ext cx="931511" cy="736048"/>
      </dsp:txXfrm>
    </dsp:sp>
    <dsp:sp modelId="{CBA483C2-D3D6-4FC8-936C-3F8745E93C7A}">
      <dsp:nvSpPr>
        <dsp:cNvPr id="0" name=""/>
        <dsp:cNvSpPr/>
      </dsp:nvSpPr>
      <dsp:spPr>
        <a:xfrm rot="16200000">
          <a:off x="2158539" y="639771"/>
          <a:ext cx="789759" cy="293193"/>
        </a:xfrm>
        <a:prstGeom prst="lef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892E4A3-FFFD-4796-9AE2-BB583BD94357}">
      <dsp:nvSpPr>
        <dsp:cNvPr id="0" name=""/>
        <dsp:cNvSpPr/>
      </dsp:nvSpPr>
      <dsp:spPr>
        <a:xfrm>
          <a:off x="2064763" y="564"/>
          <a:ext cx="977311" cy="781848"/>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mk-MK" sz="1000" kern="1200">
              <a:latin typeface="Times New Roman" pitchFamily="18" charset="0"/>
              <a:cs typeface="Times New Roman" pitchFamily="18" charset="0"/>
            </a:rPr>
            <a:t>Владин сектор</a:t>
          </a:r>
        </a:p>
      </dsp:txBody>
      <dsp:txXfrm>
        <a:off x="2087663" y="23464"/>
        <a:ext cx="931511" cy="736048"/>
      </dsp:txXfrm>
    </dsp:sp>
    <dsp:sp modelId="{7BB1C92D-8ADC-481B-8797-2C9130B2149D}">
      <dsp:nvSpPr>
        <dsp:cNvPr id="0" name=""/>
        <dsp:cNvSpPr/>
      </dsp:nvSpPr>
      <dsp:spPr>
        <a:xfrm rot="19500000">
          <a:off x="2941008" y="1047099"/>
          <a:ext cx="789759" cy="293193"/>
        </a:xfrm>
        <a:prstGeom prst="lef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90F10ECD-783F-46B2-87D2-6A0EDFDFFA95}">
      <dsp:nvSpPr>
        <dsp:cNvPr id="0" name=""/>
        <dsp:cNvSpPr/>
      </dsp:nvSpPr>
      <dsp:spPr>
        <a:xfrm>
          <a:off x="3170699" y="576278"/>
          <a:ext cx="977311" cy="781848"/>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mk-MK" sz="1000" kern="1200"/>
            <a:t>Сектор на домаќинствата (потрошувачи)</a:t>
          </a:r>
        </a:p>
      </dsp:txBody>
      <dsp:txXfrm>
        <a:off x="3193599" y="599178"/>
        <a:ext cx="931511" cy="7360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CFA0AD-7219-4B7F-8AD6-A2BD9B305170}">
      <dsp:nvSpPr>
        <dsp:cNvPr id="0" name=""/>
        <dsp:cNvSpPr/>
      </dsp:nvSpPr>
      <dsp:spPr>
        <a:xfrm>
          <a:off x="0" y="132890"/>
          <a:ext cx="529493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F811DC9B-3093-4FA6-9EE0-06D38654972C}">
      <dsp:nvSpPr>
        <dsp:cNvPr id="0" name=""/>
        <dsp:cNvSpPr/>
      </dsp:nvSpPr>
      <dsp:spPr>
        <a:xfrm>
          <a:off x="264746" y="50"/>
          <a:ext cx="3706451"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0095" tIns="0" rIns="140095" bIns="0" numCol="1" spcCol="1270" anchor="ctr" anchorCtr="0">
          <a:noAutofit/>
        </a:bodyPr>
        <a:lstStyle/>
        <a:p>
          <a:pPr lvl="0" algn="l" defTabSz="400050">
            <a:lnSpc>
              <a:spcPct val="90000"/>
            </a:lnSpc>
            <a:spcBef>
              <a:spcPct val="0"/>
            </a:spcBef>
            <a:spcAft>
              <a:spcPct val="35000"/>
            </a:spcAft>
          </a:pPr>
          <a:r>
            <a:rPr lang="mk-MK" sz="900" kern="1200"/>
            <a:t>Законска поставеност и улога  на регулатоното тело</a:t>
          </a:r>
        </a:p>
      </dsp:txBody>
      <dsp:txXfrm>
        <a:off x="277715" y="13019"/>
        <a:ext cx="3680513" cy="239742"/>
      </dsp:txXfrm>
    </dsp:sp>
    <dsp:sp modelId="{00B13A0C-69AB-4C00-9D75-ECD939C5353D}">
      <dsp:nvSpPr>
        <dsp:cNvPr id="0" name=""/>
        <dsp:cNvSpPr/>
      </dsp:nvSpPr>
      <dsp:spPr>
        <a:xfrm>
          <a:off x="0" y="541130"/>
          <a:ext cx="529493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71C9363A-88B3-4106-AA02-B8CC3797D64E}">
      <dsp:nvSpPr>
        <dsp:cNvPr id="0" name=""/>
        <dsp:cNvSpPr/>
      </dsp:nvSpPr>
      <dsp:spPr>
        <a:xfrm>
          <a:off x="264746" y="408290"/>
          <a:ext cx="3706451"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0095" tIns="0" rIns="140095" bIns="0" numCol="1" spcCol="1270" anchor="ctr" anchorCtr="0">
          <a:noAutofit/>
        </a:bodyPr>
        <a:lstStyle/>
        <a:p>
          <a:pPr lvl="0" algn="l" defTabSz="400050">
            <a:lnSpc>
              <a:spcPct val="90000"/>
            </a:lnSpc>
            <a:spcBef>
              <a:spcPct val="0"/>
            </a:spcBef>
            <a:spcAft>
              <a:spcPct val="35000"/>
            </a:spcAft>
          </a:pPr>
          <a:r>
            <a:rPr lang="mk-MK" sz="900" kern="1200"/>
            <a:t>Транспарентност и отчетност</a:t>
          </a:r>
        </a:p>
      </dsp:txBody>
      <dsp:txXfrm>
        <a:off x="277715" y="421259"/>
        <a:ext cx="3680513" cy="239742"/>
      </dsp:txXfrm>
    </dsp:sp>
    <dsp:sp modelId="{AAC307AA-87FC-4DBA-B499-EF0876F65298}">
      <dsp:nvSpPr>
        <dsp:cNvPr id="0" name=""/>
        <dsp:cNvSpPr/>
      </dsp:nvSpPr>
      <dsp:spPr>
        <a:xfrm>
          <a:off x="0" y="949371"/>
          <a:ext cx="529493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0BD7DE2-7934-40E9-9151-3D15451475D0}">
      <dsp:nvSpPr>
        <dsp:cNvPr id="0" name=""/>
        <dsp:cNvSpPr/>
      </dsp:nvSpPr>
      <dsp:spPr>
        <a:xfrm>
          <a:off x="264746" y="816531"/>
          <a:ext cx="3706451"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0095" tIns="0" rIns="140095" bIns="0" numCol="1" spcCol="1270" anchor="ctr" anchorCtr="0">
          <a:noAutofit/>
        </a:bodyPr>
        <a:lstStyle/>
        <a:p>
          <a:pPr lvl="0" algn="l" defTabSz="400050">
            <a:lnSpc>
              <a:spcPct val="90000"/>
            </a:lnSpc>
            <a:spcBef>
              <a:spcPct val="0"/>
            </a:spcBef>
            <a:spcAft>
              <a:spcPct val="35000"/>
            </a:spcAft>
          </a:pPr>
          <a:r>
            <a:rPr lang="mk-MK" sz="900" kern="1200"/>
            <a:t>Финансиска независнот</a:t>
          </a:r>
        </a:p>
      </dsp:txBody>
      <dsp:txXfrm>
        <a:off x="277715" y="829500"/>
        <a:ext cx="3680513" cy="239742"/>
      </dsp:txXfrm>
    </dsp:sp>
    <dsp:sp modelId="{3415FCC4-8980-4F44-976E-3A07ACEA16BA}">
      <dsp:nvSpPr>
        <dsp:cNvPr id="0" name=""/>
        <dsp:cNvSpPr/>
      </dsp:nvSpPr>
      <dsp:spPr>
        <a:xfrm>
          <a:off x="0" y="1357611"/>
          <a:ext cx="529493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54642CD-2673-467A-9F3C-30FE9D6DDAD8}">
      <dsp:nvSpPr>
        <dsp:cNvPr id="0" name=""/>
        <dsp:cNvSpPr/>
      </dsp:nvSpPr>
      <dsp:spPr>
        <a:xfrm>
          <a:off x="264746" y="1224771"/>
          <a:ext cx="3706451"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0095" tIns="0" rIns="140095" bIns="0" numCol="1" spcCol="1270" anchor="ctr" anchorCtr="0">
          <a:noAutofit/>
        </a:bodyPr>
        <a:lstStyle/>
        <a:p>
          <a:pPr lvl="0" algn="l" defTabSz="400050">
            <a:lnSpc>
              <a:spcPct val="90000"/>
            </a:lnSpc>
            <a:spcBef>
              <a:spcPct val="0"/>
            </a:spcBef>
            <a:spcAft>
              <a:spcPct val="35000"/>
            </a:spcAft>
          </a:pPr>
          <a:r>
            <a:rPr lang="mk-MK" sz="900" kern="1200"/>
            <a:t>Независност на менаџментот</a:t>
          </a:r>
        </a:p>
      </dsp:txBody>
      <dsp:txXfrm>
        <a:off x="277715" y="1237740"/>
        <a:ext cx="3680513" cy="239742"/>
      </dsp:txXfrm>
    </dsp:sp>
    <dsp:sp modelId="{3B4C3C9F-8BB5-4A02-A140-8890A2099DB7}">
      <dsp:nvSpPr>
        <dsp:cNvPr id="0" name=""/>
        <dsp:cNvSpPr/>
      </dsp:nvSpPr>
      <dsp:spPr>
        <a:xfrm>
          <a:off x="0" y="1765851"/>
          <a:ext cx="5294930" cy="226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55BAD41-CEA9-48E1-A77E-E2163CFA6864}">
      <dsp:nvSpPr>
        <dsp:cNvPr id="0" name=""/>
        <dsp:cNvSpPr/>
      </dsp:nvSpPr>
      <dsp:spPr>
        <a:xfrm>
          <a:off x="264746" y="1633011"/>
          <a:ext cx="3706451" cy="2656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0095" tIns="0" rIns="140095" bIns="0" numCol="1" spcCol="1270" anchor="ctr" anchorCtr="0">
          <a:noAutofit/>
        </a:bodyPr>
        <a:lstStyle/>
        <a:p>
          <a:pPr lvl="0" algn="l" defTabSz="400050">
            <a:lnSpc>
              <a:spcPct val="90000"/>
            </a:lnSpc>
            <a:spcBef>
              <a:spcPct val="0"/>
            </a:spcBef>
            <a:spcAft>
              <a:spcPct val="35000"/>
            </a:spcAft>
          </a:pPr>
          <a:r>
            <a:rPr lang="mk-MK" sz="900" kern="1200"/>
            <a:t>Кадровски капацитет</a:t>
          </a:r>
        </a:p>
      </dsp:txBody>
      <dsp:txXfrm>
        <a:off x="277715" y="1645980"/>
        <a:ext cx="3680513"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4D5A-FC78-4A08-AD18-9D1A4951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6047</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Mamucevska</cp:lastModifiedBy>
  <cp:revision>2</cp:revision>
  <dcterms:created xsi:type="dcterms:W3CDTF">2020-11-23T22:32:00Z</dcterms:created>
  <dcterms:modified xsi:type="dcterms:W3CDTF">2020-11-23T22:32:00Z</dcterms:modified>
</cp:coreProperties>
</file>