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D3" w:rsidRPr="00B654F2" w:rsidRDefault="002C14D3" w:rsidP="009E770B">
      <w:pPr>
        <w:spacing w:after="0" w:line="240" w:lineRule="auto"/>
        <w:jc w:val="center"/>
        <w:rPr>
          <w:rFonts w:ascii="Times New Roman" w:hAnsi="Times New Roman" w:cs="Times New Roman"/>
          <w:b/>
          <w:caps/>
          <w:sz w:val="24"/>
          <w:szCs w:val="24"/>
          <w:lang w:val="mk-MK"/>
        </w:rPr>
      </w:pPr>
      <w:r w:rsidRPr="00B654F2">
        <w:rPr>
          <w:rFonts w:ascii="Times New Roman" w:hAnsi="Times New Roman" w:cs="Times New Roman"/>
          <w:b/>
          <w:caps/>
          <w:sz w:val="24"/>
          <w:szCs w:val="24"/>
          <w:lang w:val="mk-MK"/>
        </w:rPr>
        <w:t xml:space="preserve">Креирање и примена на политиката за заштита на конкуренцијата во македонската економија: </w:t>
      </w:r>
    </w:p>
    <w:p w:rsidR="00C90434" w:rsidRPr="00B654F2" w:rsidRDefault="002C14D3" w:rsidP="00C90434">
      <w:pPr>
        <w:spacing w:after="0" w:line="240" w:lineRule="auto"/>
        <w:jc w:val="center"/>
        <w:rPr>
          <w:rFonts w:ascii="Times New Roman" w:hAnsi="Times New Roman" w:cs="Times New Roman"/>
          <w:b/>
          <w:caps/>
          <w:sz w:val="24"/>
          <w:szCs w:val="24"/>
          <w:lang w:val="mk-MK"/>
        </w:rPr>
      </w:pPr>
      <w:r w:rsidRPr="00B654F2">
        <w:rPr>
          <w:rFonts w:ascii="Times New Roman" w:hAnsi="Times New Roman" w:cs="Times New Roman"/>
          <w:b/>
          <w:caps/>
          <w:sz w:val="24"/>
          <w:szCs w:val="24"/>
          <w:lang w:val="mk-MK"/>
        </w:rPr>
        <w:t xml:space="preserve">формално исполнување на домашната задача </w:t>
      </w:r>
    </w:p>
    <w:p w:rsidR="00C90434" w:rsidRPr="00B654F2" w:rsidRDefault="00C90434" w:rsidP="00C90434">
      <w:pPr>
        <w:spacing w:after="0" w:line="240" w:lineRule="auto"/>
        <w:jc w:val="center"/>
        <w:rPr>
          <w:rFonts w:ascii="Times New Roman" w:hAnsi="Times New Roman" w:cs="Times New Roman"/>
          <w:b/>
          <w:caps/>
          <w:sz w:val="24"/>
          <w:szCs w:val="24"/>
          <w:lang w:val="mk-MK"/>
        </w:rPr>
      </w:pPr>
      <w:r w:rsidRPr="00B654F2">
        <w:rPr>
          <w:rFonts w:ascii="Times New Roman" w:hAnsi="Times New Roman" w:cs="Times New Roman"/>
          <w:b/>
          <w:caps/>
          <w:sz w:val="24"/>
          <w:szCs w:val="24"/>
        </w:rPr>
        <w:t xml:space="preserve">во процесот на Интеграција </w:t>
      </w:r>
      <w:r w:rsidRPr="00B654F2">
        <w:rPr>
          <w:rFonts w:ascii="Times New Roman" w:hAnsi="Times New Roman" w:cs="Times New Roman"/>
          <w:b/>
          <w:caps/>
          <w:sz w:val="24"/>
          <w:szCs w:val="24"/>
          <w:lang w:val="mk-MK"/>
        </w:rPr>
        <w:t>кон ЕУ</w:t>
      </w:r>
    </w:p>
    <w:p w:rsidR="009E770B" w:rsidRPr="00B654F2" w:rsidRDefault="002C14D3" w:rsidP="009E770B">
      <w:pPr>
        <w:spacing w:after="0" w:line="240" w:lineRule="auto"/>
        <w:jc w:val="center"/>
        <w:rPr>
          <w:rFonts w:ascii="Times New Roman" w:hAnsi="Times New Roman" w:cs="Times New Roman"/>
          <w:b/>
          <w:caps/>
          <w:sz w:val="24"/>
          <w:szCs w:val="24"/>
        </w:rPr>
      </w:pPr>
      <w:r w:rsidRPr="00B654F2">
        <w:rPr>
          <w:rFonts w:ascii="Times New Roman" w:hAnsi="Times New Roman" w:cs="Times New Roman"/>
          <w:b/>
          <w:caps/>
          <w:sz w:val="24"/>
          <w:szCs w:val="24"/>
          <w:lang w:val="mk-MK"/>
        </w:rPr>
        <w:t>или реална потреба од поголема пазарна конкуренција</w:t>
      </w:r>
      <w:r w:rsidRPr="00B654F2">
        <w:rPr>
          <w:rFonts w:ascii="Times New Roman" w:hAnsi="Times New Roman" w:cs="Times New Roman"/>
          <w:b/>
          <w:caps/>
          <w:sz w:val="24"/>
          <w:szCs w:val="24"/>
        </w:rPr>
        <w:t xml:space="preserve"> </w:t>
      </w:r>
    </w:p>
    <w:p w:rsidR="002C14D3" w:rsidRPr="00B654F2" w:rsidRDefault="002C14D3" w:rsidP="002C14D3">
      <w:pPr>
        <w:jc w:val="both"/>
        <w:rPr>
          <w:rFonts w:ascii="Times New Roman" w:hAnsi="Times New Roman" w:cs="Times New Roman"/>
          <w:b/>
          <w:sz w:val="24"/>
          <w:szCs w:val="24"/>
          <w:lang w:val="mk-MK"/>
        </w:rPr>
      </w:pPr>
    </w:p>
    <w:p w:rsidR="002C14D3" w:rsidRPr="00B654F2" w:rsidRDefault="002C14D3" w:rsidP="003970C3">
      <w:pPr>
        <w:spacing w:after="0" w:line="240" w:lineRule="auto"/>
        <w:jc w:val="both"/>
        <w:rPr>
          <w:rFonts w:ascii="Times New Roman" w:hAnsi="Times New Roman" w:cs="Times New Roman"/>
          <w:i/>
          <w:sz w:val="24"/>
          <w:szCs w:val="24"/>
          <w:lang w:val="mk-MK"/>
        </w:rPr>
      </w:pPr>
      <w:r w:rsidRPr="00B654F2">
        <w:rPr>
          <w:rFonts w:ascii="Times New Roman" w:hAnsi="Times New Roman" w:cs="Times New Roman"/>
          <w:i/>
          <w:sz w:val="24"/>
          <w:szCs w:val="24"/>
          <w:lang w:val="mk-MK"/>
        </w:rPr>
        <w:t xml:space="preserve">Проф. д-р Даниела </w:t>
      </w:r>
      <w:proofErr w:type="spellStart"/>
      <w:r w:rsidRPr="00B654F2">
        <w:rPr>
          <w:rFonts w:ascii="Times New Roman" w:hAnsi="Times New Roman" w:cs="Times New Roman"/>
          <w:i/>
          <w:sz w:val="24"/>
          <w:szCs w:val="24"/>
          <w:lang w:val="mk-MK"/>
        </w:rPr>
        <w:t>Мамучевска</w:t>
      </w:r>
      <w:proofErr w:type="spellEnd"/>
    </w:p>
    <w:p w:rsidR="002C14D3" w:rsidRPr="00B654F2" w:rsidRDefault="002C14D3" w:rsidP="003970C3">
      <w:pPr>
        <w:spacing w:after="0" w:line="240" w:lineRule="auto"/>
        <w:jc w:val="both"/>
        <w:rPr>
          <w:rFonts w:ascii="Times New Roman" w:hAnsi="Times New Roman" w:cs="Times New Roman"/>
          <w:i/>
          <w:sz w:val="24"/>
          <w:szCs w:val="24"/>
          <w:lang w:val="mk-MK"/>
        </w:rPr>
      </w:pPr>
      <w:r w:rsidRPr="00B654F2">
        <w:rPr>
          <w:rFonts w:ascii="Times New Roman" w:hAnsi="Times New Roman" w:cs="Times New Roman"/>
          <w:i/>
          <w:sz w:val="24"/>
          <w:szCs w:val="24"/>
          <w:lang w:val="mk-MK"/>
        </w:rPr>
        <w:t>Универзитет „Св. Кирил и Методиј“ во Скопје</w:t>
      </w:r>
    </w:p>
    <w:p w:rsidR="002C14D3" w:rsidRPr="00B654F2" w:rsidRDefault="002C14D3" w:rsidP="003970C3">
      <w:pPr>
        <w:spacing w:after="0" w:line="240" w:lineRule="auto"/>
        <w:jc w:val="both"/>
        <w:rPr>
          <w:rFonts w:ascii="Times New Roman" w:hAnsi="Times New Roman" w:cs="Times New Roman"/>
          <w:sz w:val="24"/>
          <w:szCs w:val="24"/>
          <w:lang w:val="mk-MK"/>
        </w:rPr>
      </w:pPr>
      <w:r w:rsidRPr="00B654F2">
        <w:rPr>
          <w:rFonts w:ascii="Times New Roman" w:hAnsi="Times New Roman" w:cs="Times New Roman"/>
          <w:i/>
          <w:sz w:val="24"/>
          <w:szCs w:val="24"/>
          <w:lang w:val="mk-MK"/>
        </w:rPr>
        <w:t>Економски факултет - Скопје</w:t>
      </w:r>
    </w:p>
    <w:p w:rsidR="002C14D3" w:rsidRPr="00B654F2" w:rsidRDefault="002C14D3" w:rsidP="002C14D3">
      <w:pPr>
        <w:jc w:val="both"/>
        <w:rPr>
          <w:rFonts w:ascii="Times New Roman" w:hAnsi="Times New Roman" w:cs="Times New Roman"/>
          <w:b/>
          <w:sz w:val="24"/>
          <w:szCs w:val="24"/>
          <w:lang w:val="mk-MK"/>
        </w:rPr>
      </w:pPr>
    </w:p>
    <w:p w:rsidR="002C14D3" w:rsidRPr="00FA0824" w:rsidRDefault="002C14D3" w:rsidP="002C14D3">
      <w:pPr>
        <w:jc w:val="both"/>
        <w:rPr>
          <w:rFonts w:ascii="Times New Roman" w:hAnsi="Times New Roman" w:cs="Times New Roman"/>
          <w:b/>
          <w:sz w:val="24"/>
          <w:szCs w:val="24"/>
        </w:rPr>
      </w:pPr>
      <w:r w:rsidRPr="00B654F2">
        <w:rPr>
          <w:rFonts w:ascii="Times New Roman" w:hAnsi="Times New Roman" w:cs="Times New Roman"/>
          <w:b/>
          <w:sz w:val="24"/>
          <w:szCs w:val="24"/>
          <w:lang w:val="mk-MK"/>
        </w:rPr>
        <w:t>Апстракт</w:t>
      </w:r>
    </w:p>
    <w:p w:rsidR="00593C14" w:rsidRPr="00B654F2" w:rsidRDefault="00593C14" w:rsidP="00593C14">
      <w:pPr>
        <w:spacing w:line="276" w:lineRule="auto"/>
        <w:jc w:val="both"/>
        <w:rPr>
          <w:rFonts w:ascii="Times New Roman" w:hAnsi="Times New Roman" w:cs="Times New Roman"/>
          <w:i/>
          <w:sz w:val="24"/>
          <w:szCs w:val="24"/>
          <w:lang w:val="mk-MK"/>
        </w:rPr>
      </w:pPr>
      <w:r w:rsidRPr="00B654F2">
        <w:rPr>
          <w:rFonts w:ascii="Times New Roman" w:hAnsi="Times New Roman" w:cs="Times New Roman"/>
          <w:i/>
          <w:sz w:val="24"/>
          <w:szCs w:val="24"/>
          <w:lang w:val="mk-MK"/>
        </w:rPr>
        <w:t xml:space="preserve">Со потпишувањето на Спогодбата за стабилизација и асоцијација во април 2001 година, со членовите 39, 69 и 70 од овој документ, Република Северна Македонија се обврза за развој на соодветна регулатива </w:t>
      </w:r>
      <w:proofErr w:type="spellStart"/>
      <w:r w:rsidRPr="00B654F2">
        <w:rPr>
          <w:rFonts w:ascii="Times New Roman" w:hAnsi="Times New Roman" w:cs="Times New Roman"/>
          <w:i/>
          <w:sz w:val="24"/>
          <w:szCs w:val="24"/>
        </w:rPr>
        <w:t>за</w:t>
      </w:r>
      <w:proofErr w:type="spellEnd"/>
      <w:r w:rsidRPr="00B654F2">
        <w:rPr>
          <w:rFonts w:ascii="Times New Roman" w:hAnsi="Times New Roman" w:cs="Times New Roman"/>
          <w:i/>
          <w:sz w:val="24"/>
          <w:szCs w:val="24"/>
          <w:lang w:val="mk-MK"/>
        </w:rPr>
        <w:t xml:space="preserve"> сеопфатна борба против ограничувањата на пазарна конкуренција во домашната економија и монополското однесување. Водени од активностите и преземените задачи во процесот на асоцијативно членство кон Европската Унија, во 2010 година се донесе нов Закон за заштита на конкуренцијата (Сл. Весник на РМ бр.145/10 од 28.2</w:t>
      </w:r>
      <w:r w:rsidR="00B01986" w:rsidRPr="00B654F2">
        <w:rPr>
          <w:rFonts w:ascii="Times New Roman" w:hAnsi="Times New Roman" w:cs="Times New Roman"/>
          <w:i/>
          <w:sz w:val="24"/>
          <w:szCs w:val="24"/>
          <w:lang w:val="mk-MK"/>
        </w:rPr>
        <w:t>.2</w:t>
      </w:r>
      <w:r w:rsidRPr="00B654F2">
        <w:rPr>
          <w:rFonts w:ascii="Times New Roman" w:hAnsi="Times New Roman" w:cs="Times New Roman"/>
          <w:i/>
          <w:sz w:val="24"/>
          <w:szCs w:val="24"/>
          <w:lang w:val="mk-MK"/>
        </w:rPr>
        <w:t xml:space="preserve">010) кој во значителен степен беше усогласен со европската </w:t>
      </w:r>
      <w:proofErr w:type="spellStart"/>
      <w:r w:rsidRPr="00B654F2">
        <w:rPr>
          <w:rFonts w:ascii="Times New Roman" w:hAnsi="Times New Roman" w:cs="Times New Roman"/>
          <w:i/>
          <w:sz w:val="24"/>
          <w:szCs w:val="24"/>
          <w:lang w:val="mk-MK"/>
        </w:rPr>
        <w:t>антитрустовска</w:t>
      </w:r>
      <w:proofErr w:type="spellEnd"/>
      <w:r w:rsidRPr="00B654F2">
        <w:rPr>
          <w:rFonts w:ascii="Times New Roman" w:hAnsi="Times New Roman" w:cs="Times New Roman"/>
          <w:i/>
          <w:sz w:val="24"/>
          <w:szCs w:val="24"/>
          <w:lang w:val="mk-MK"/>
        </w:rPr>
        <w:t xml:space="preserve"> легислатива</w:t>
      </w:r>
      <w:r w:rsidR="00B01986" w:rsidRPr="00B654F2">
        <w:rPr>
          <w:rFonts w:ascii="Times New Roman" w:hAnsi="Times New Roman" w:cs="Times New Roman"/>
          <w:i/>
          <w:sz w:val="24"/>
          <w:szCs w:val="24"/>
          <w:lang w:val="mk-MK"/>
        </w:rPr>
        <w:t xml:space="preserve"> и </w:t>
      </w:r>
      <w:r w:rsidRPr="00B654F2">
        <w:rPr>
          <w:rFonts w:ascii="Times New Roman" w:hAnsi="Times New Roman" w:cs="Times New Roman"/>
          <w:i/>
          <w:sz w:val="24"/>
          <w:szCs w:val="24"/>
          <w:lang w:val="mk-MK"/>
        </w:rPr>
        <w:t>се создадоа услови за соодветен институционален развој на политиката за заштита на конкуренцијата.</w:t>
      </w:r>
    </w:p>
    <w:p w:rsidR="00593C14" w:rsidRPr="00B654F2" w:rsidRDefault="00593C14" w:rsidP="00593C14">
      <w:pPr>
        <w:spacing w:line="276" w:lineRule="auto"/>
        <w:jc w:val="both"/>
        <w:rPr>
          <w:rFonts w:ascii="Times New Roman" w:hAnsi="Times New Roman" w:cs="Times New Roman"/>
          <w:i/>
          <w:sz w:val="24"/>
          <w:szCs w:val="24"/>
          <w:lang w:val="mk-MK"/>
        </w:rPr>
      </w:pPr>
      <w:r w:rsidRPr="00B654F2">
        <w:rPr>
          <w:rFonts w:ascii="Times New Roman" w:hAnsi="Times New Roman" w:cs="Times New Roman"/>
          <w:i/>
          <w:sz w:val="24"/>
          <w:szCs w:val="24"/>
          <w:lang w:val="mk-MK"/>
        </w:rPr>
        <w:t>Меѓутоа, и по речиси една декада од донесувањето на ‘современиот’ Закон за заштита на конкуренцијата, оваа политика остана на нивото на ‘концепт’ во напорите за поттикнување на пазарната конкуренција</w:t>
      </w:r>
      <w:r w:rsidR="00B33DAB" w:rsidRPr="00B654F2">
        <w:rPr>
          <w:rFonts w:ascii="Times New Roman" w:hAnsi="Times New Roman" w:cs="Times New Roman"/>
          <w:i/>
          <w:sz w:val="24"/>
          <w:szCs w:val="24"/>
          <w:lang w:val="mk-MK"/>
        </w:rPr>
        <w:t>.</w:t>
      </w:r>
      <w:r w:rsidRPr="00B654F2">
        <w:rPr>
          <w:rFonts w:ascii="Times New Roman" w:hAnsi="Times New Roman" w:cs="Times New Roman"/>
          <w:i/>
          <w:sz w:val="24"/>
          <w:szCs w:val="24"/>
          <w:lang w:val="mk-MK"/>
        </w:rPr>
        <w:t xml:space="preserve"> Институционалната потентност поддржана од несоодветните финансиски ресурси и административен капацитет ја направи оваа политика без свој лик и кредибилитет пред пошироката деловна и стручна јавност.</w:t>
      </w:r>
    </w:p>
    <w:p w:rsidR="00B33DAB" w:rsidRPr="00B654F2" w:rsidRDefault="00B33DAB" w:rsidP="00B33DAB">
      <w:pPr>
        <w:spacing w:line="276" w:lineRule="auto"/>
        <w:jc w:val="both"/>
        <w:rPr>
          <w:rFonts w:ascii="Times New Roman" w:hAnsi="Times New Roman" w:cs="Times New Roman"/>
          <w:i/>
          <w:sz w:val="24"/>
          <w:szCs w:val="24"/>
          <w:lang w:val="mk-MK"/>
        </w:rPr>
      </w:pPr>
      <w:r w:rsidRPr="00B654F2">
        <w:rPr>
          <w:rFonts w:ascii="Times New Roman" w:hAnsi="Times New Roman" w:cs="Times New Roman"/>
          <w:i/>
          <w:sz w:val="24"/>
          <w:szCs w:val="24"/>
          <w:lang w:val="mk-MK"/>
        </w:rPr>
        <w:t>Оттука, целта на овој труд е преку емпириска анализа на работењето на Комисијата за заштита на конкуренцијата</w:t>
      </w:r>
      <w:r w:rsidR="00876C62" w:rsidRPr="00B654F2">
        <w:rPr>
          <w:rFonts w:ascii="Times New Roman" w:hAnsi="Times New Roman" w:cs="Times New Roman"/>
          <w:i/>
          <w:sz w:val="24"/>
          <w:szCs w:val="24"/>
          <w:lang w:val="mk-MK"/>
        </w:rPr>
        <w:t>,</w:t>
      </w:r>
      <w:r w:rsidRPr="00B654F2">
        <w:rPr>
          <w:rFonts w:ascii="Times New Roman" w:hAnsi="Times New Roman" w:cs="Times New Roman"/>
          <w:i/>
          <w:sz w:val="24"/>
          <w:szCs w:val="24"/>
          <w:lang w:val="mk-MK"/>
        </w:rPr>
        <w:t xml:space="preserve"> која го опфаќа периодот од 2010 до 2018 година</w:t>
      </w:r>
      <w:r w:rsidR="00876C62" w:rsidRPr="00B654F2">
        <w:rPr>
          <w:rFonts w:ascii="Times New Roman" w:hAnsi="Times New Roman" w:cs="Times New Roman"/>
          <w:i/>
          <w:sz w:val="24"/>
          <w:szCs w:val="24"/>
          <w:lang w:val="mk-MK"/>
        </w:rPr>
        <w:t>,</w:t>
      </w:r>
      <w:r w:rsidRPr="00B654F2">
        <w:rPr>
          <w:rFonts w:ascii="Times New Roman" w:hAnsi="Times New Roman" w:cs="Times New Roman"/>
          <w:i/>
          <w:sz w:val="24"/>
          <w:szCs w:val="24"/>
          <w:lang w:val="mk-MK"/>
        </w:rPr>
        <w:t xml:space="preserve"> да ги долови клучните слабости во примената на политиката за заштита на конкуренцијата и да даде конкретни препораки и  сугестии за надминување на истите.</w:t>
      </w:r>
    </w:p>
    <w:p w:rsidR="008416CE" w:rsidRPr="00B654F2" w:rsidRDefault="008416CE" w:rsidP="00B33DAB">
      <w:pPr>
        <w:jc w:val="both"/>
        <w:rPr>
          <w:rFonts w:ascii="Times New Roman" w:hAnsi="Times New Roman" w:cs="Times New Roman"/>
          <w:b/>
          <w:sz w:val="24"/>
          <w:szCs w:val="24"/>
          <w:lang w:val="mk-MK"/>
        </w:rPr>
      </w:pPr>
    </w:p>
    <w:p w:rsidR="00B33DAB" w:rsidRPr="00B654F2" w:rsidRDefault="0048524E" w:rsidP="00B33DAB">
      <w:pPr>
        <w:jc w:val="both"/>
        <w:rPr>
          <w:rFonts w:ascii="Times New Roman" w:hAnsi="Times New Roman" w:cs="Times New Roman"/>
          <w:b/>
          <w:sz w:val="24"/>
          <w:szCs w:val="24"/>
          <w:lang w:val="mk-MK"/>
        </w:rPr>
      </w:pPr>
      <w:r w:rsidRPr="00B654F2">
        <w:rPr>
          <w:rFonts w:ascii="Times New Roman" w:hAnsi="Times New Roman" w:cs="Times New Roman"/>
          <w:b/>
          <w:sz w:val="24"/>
          <w:szCs w:val="24"/>
          <w:lang w:val="mk-MK"/>
        </w:rPr>
        <w:t xml:space="preserve">Клучни зборови: </w:t>
      </w:r>
      <w:r w:rsidRPr="00B654F2">
        <w:rPr>
          <w:rFonts w:ascii="Times New Roman" w:hAnsi="Times New Roman" w:cs="Times New Roman"/>
          <w:i/>
          <w:sz w:val="24"/>
          <w:szCs w:val="24"/>
          <w:lang w:val="mk-MK"/>
        </w:rPr>
        <w:t>политика за заштита на конкуренцијата, пазарна конкуренција, благосостојба на потрошувачите</w:t>
      </w:r>
    </w:p>
    <w:p w:rsidR="00B33DAB" w:rsidRPr="00B654F2" w:rsidRDefault="00B33DAB" w:rsidP="00B33DAB">
      <w:pPr>
        <w:jc w:val="both"/>
        <w:rPr>
          <w:rFonts w:ascii="Times New Roman" w:hAnsi="Times New Roman" w:cs="Times New Roman"/>
          <w:b/>
          <w:sz w:val="24"/>
          <w:szCs w:val="24"/>
          <w:lang w:val="mk-MK"/>
        </w:rPr>
      </w:pPr>
      <w:r w:rsidRPr="00B654F2">
        <w:rPr>
          <w:rFonts w:ascii="Times New Roman" w:hAnsi="Times New Roman" w:cs="Times New Roman"/>
          <w:b/>
          <w:sz w:val="24"/>
          <w:szCs w:val="24"/>
        </w:rPr>
        <w:t>JEL</w:t>
      </w:r>
      <w:r w:rsidRPr="00B654F2">
        <w:rPr>
          <w:rFonts w:ascii="Times New Roman" w:hAnsi="Times New Roman" w:cs="Times New Roman"/>
          <w:b/>
          <w:sz w:val="24"/>
          <w:szCs w:val="24"/>
          <w:lang w:val="mk-MK"/>
        </w:rPr>
        <w:t xml:space="preserve"> класификација:</w:t>
      </w:r>
      <w:r w:rsidRPr="00B654F2">
        <w:rPr>
          <w:rFonts w:ascii="Times New Roman" w:hAnsi="Times New Roman" w:cs="Times New Roman"/>
          <w:b/>
          <w:sz w:val="24"/>
          <w:szCs w:val="24"/>
        </w:rPr>
        <w:t xml:space="preserve"> L40, K21, D02</w:t>
      </w:r>
    </w:p>
    <w:p w:rsidR="00B33DAB" w:rsidRPr="00B654F2" w:rsidRDefault="00B33DAB" w:rsidP="00593C14">
      <w:pPr>
        <w:spacing w:line="276" w:lineRule="auto"/>
        <w:jc w:val="both"/>
        <w:rPr>
          <w:rFonts w:ascii="Times New Roman" w:hAnsi="Times New Roman" w:cs="Times New Roman"/>
          <w:i/>
          <w:sz w:val="24"/>
          <w:szCs w:val="24"/>
          <w:lang w:val="mk-MK"/>
        </w:rPr>
      </w:pPr>
    </w:p>
    <w:p w:rsidR="00B071A0" w:rsidRPr="00B654F2" w:rsidRDefault="00B071A0">
      <w:pPr>
        <w:rPr>
          <w:rFonts w:ascii="Times New Roman" w:hAnsi="Times New Roman" w:cs="Times New Roman"/>
        </w:rPr>
      </w:pPr>
    </w:p>
    <w:p w:rsidR="005D47F4" w:rsidRPr="00B654F2" w:rsidRDefault="005D47F4">
      <w:pPr>
        <w:rPr>
          <w:rFonts w:ascii="Times New Roman" w:hAnsi="Times New Roman" w:cs="Times New Roman"/>
          <w:b/>
          <w:sz w:val="24"/>
          <w:szCs w:val="24"/>
          <w:lang w:val="mk-MK"/>
        </w:rPr>
      </w:pPr>
      <w:r w:rsidRPr="00B654F2">
        <w:rPr>
          <w:rFonts w:ascii="Times New Roman" w:hAnsi="Times New Roman" w:cs="Times New Roman"/>
          <w:b/>
          <w:sz w:val="24"/>
          <w:szCs w:val="24"/>
          <w:lang w:val="mk-MK"/>
        </w:rPr>
        <w:t>Вовед</w:t>
      </w:r>
    </w:p>
    <w:p w:rsidR="00975747" w:rsidRPr="00B654F2" w:rsidRDefault="00975747" w:rsidP="00E8639B">
      <w:pPr>
        <w:spacing w:line="276" w:lineRule="auto"/>
        <w:jc w:val="both"/>
        <w:rPr>
          <w:rFonts w:ascii="Times New Roman" w:hAnsi="Times New Roman" w:cs="Times New Roman"/>
          <w:lang w:val="mk-MK"/>
        </w:rPr>
      </w:pPr>
      <w:r w:rsidRPr="00B654F2">
        <w:rPr>
          <w:rFonts w:ascii="Times New Roman" w:hAnsi="Times New Roman" w:cs="Times New Roman"/>
          <w:sz w:val="24"/>
          <w:szCs w:val="24"/>
          <w:lang w:val="mk-MK"/>
        </w:rPr>
        <w:lastRenderedPageBreak/>
        <w:t xml:space="preserve">Политиката за заштита на конкуренцијата (во натамошниот текст ПЗК) најчесто се дефинира како сет на закони, политики и мерки со кои се спречува секое ограничување на пазарната конкуренција кое влијае врз редуцирање на ефикасноста,  технолошките иновации и на благосостојбата на потрошувачите. Со други зборови, секое ограничување на пазарната конкуренција не мора да значи дека е штетно за пазарот и за благосостојбата на потрошувачите. ПЗК почива на претпоставката дека пазарите во основа функционираат добро и фирмите ги носат своите одлуки самостојно и во согласност со пазарните услови и динамика. </w:t>
      </w:r>
      <w:r w:rsidRPr="00B654F2">
        <w:rPr>
          <w:rFonts w:ascii="Times New Roman" w:hAnsi="Times New Roman" w:cs="Times New Roman"/>
          <w:lang w:val="mk-MK"/>
        </w:rPr>
        <w:t xml:space="preserve">Оттука, политиката за заштита на конкуренцијата треба да ги санкционира само оние деловни практики на фирмите со кои се ограничува пазарната конкуренција и </w:t>
      </w:r>
      <w:r w:rsidR="00E8639B" w:rsidRPr="00B654F2">
        <w:rPr>
          <w:rFonts w:ascii="Times New Roman" w:hAnsi="Times New Roman" w:cs="Times New Roman"/>
          <w:lang w:val="mk-MK"/>
        </w:rPr>
        <w:t xml:space="preserve">кои </w:t>
      </w:r>
      <w:r w:rsidRPr="00B654F2">
        <w:rPr>
          <w:rFonts w:ascii="Times New Roman" w:hAnsi="Times New Roman" w:cs="Times New Roman"/>
          <w:lang w:val="mk-MK"/>
        </w:rPr>
        <w:t>резултираат во раст на профитите на фирмите, ограничување на изборот и намалување на благосостојбата на потрошувачите.</w:t>
      </w:r>
    </w:p>
    <w:p w:rsidR="00B66B6A" w:rsidRPr="00B654F2" w:rsidRDefault="0032188E" w:rsidP="00E8639B">
      <w:pPr>
        <w:spacing w:line="276" w:lineRule="auto"/>
        <w:jc w:val="both"/>
        <w:rPr>
          <w:rFonts w:ascii="Times New Roman" w:hAnsi="Times New Roman" w:cs="Times New Roman"/>
          <w:sz w:val="24"/>
          <w:szCs w:val="24"/>
          <w:lang w:val="mk-MK"/>
        </w:rPr>
      </w:pPr>
      <w:r w:rsidRPr="00B654F2">
        <w:rPr>
          <w:rFonts w:ascii="Times New Roman" w:hAnsi="Times New Roman" w:cs="Times New Roman"/>
          <w:sz w:val="24"/>
          <w:szCs w:val="24"/>
          <w:lang w:val="mk-MK"/>
        </w:rPr>
        <w:t>Современите пазари во развиените економии се регулирани пазари. Регулацијата не значи суспензи</w:t>
      </w:r>
      <w:r w:rsidR="009B50FC" w:rsidRPr="00B654F2">
        <w:rPr>
          <w:rFonts w:ascii="Times New Roman" w:hAnsi="Times New Roman" w:cs="Times New Roman"/>
          <w:sz w:val="24"/>
          <w:szCs w:val="24"/>
          <w:lang w:val="mk-MK"/>
        </w:rPr>
        <w:t>ја на пазарниот механизам, туку</w:t>
      </w:r>
      <w:r w:rsidR="007027AD">
        <w:rPr>
          <w:rFonts w:ascii="Times New Roman" w:hAnsi="Times New Roman" w:cs="Times New Roman"/>
          <w:sz w:val="24"/>
          <w:szCs w:val="24"/>
          <w:lang w:val="mk-MK"/>
        </w:rPr>
        <w:t xml:space="preserve"> напротив,</w:t>
      </w:r>
      <w:r w:rsidR="009B50FC" w:rsidRPr="00B654F2">
        <w:rPr>
          <w:rFonts w:ascii="Times New Roman" w:hAnsi="Times New Roman" w:cs="Times New Roman"/>
          <w:sz w:val="24"/>
          <w:szCs w:val="24"/>
          <w:lang w:val="mk-MK"/>
        </w:rPr>
        <w:t xml:space="preserve"> подразбира институционално поставени критериуми за </w:t>
      </w:r>
      <w:r w:rsidR="00712C98" w:rsidRPr="00B654F2">
        <w:rPr>
          <w:rFonts w:ascii="Times New Roman" w:hAnsi="Times New Roman" w:cs="Times New Roman"/>
          <w:sz w:val="24"/>
          <w:szCs w:val="24"/>
          <w:lang w:val="mk-MK"/>
        </w:rPr>
        <w:t xml:space="preserve">создавање на услови за постоење на конкурентни пазари кои ќе создаваат притисок врз фирмите постојано да вложуваат во одржувањето на </w:t>
      </w:r>
      <w:r w:rsidR="00E8639B" w:rsidRPr="00B654F2">
        <w:rPr>
          <w:rFonts w:ascii="Times New Roman" w:hAnsi="Times New Roman" w:cs="Times New Roman"/>
          <w:sz w:val="24"/>
          <w:szCs w:val="24"/>
          <w:lang w:val="mk-MK"/>
        </w:rPr>
        <w:t>нивните</w:t>
      </w:r>
      <w:r w:rsidR="00712C98" w:rsidRPr="00B654F2">
        <w:rPr>
          <w:rFonts w:ascii="Times New Roman" w:hAnsi="Times New Roman" w:cs="Times New Roman"/>
          <w:sz w:val="24"/>
          <w:szCs w:val="24"/>
          <w:lang w:val="mk-MK"/>
        </w:rPr>
        <w:t xml:space="preserve"> компаративни и конкурентски предност, а благосостојбата на потрошувачите ќе се подобрува. </w:t>
      </w:r>
    </w:p>
    <w:p w:rsidR="002977BF" w:rsidRPr="00B654F2" w:rsidRDefault="002977BF" w:rsidP="002977BF">
      <w:pPr>
        <w:jc w:val="both"/>
        <w:rPr>
          <w:rFonts w:ascii="Times New Roman" w:hAnsi="Times New Roman" w:cs="Times New Roman"/>
          <w:sz w:val="24"/>
          <w:szCs w:val="24"/>
          <w:lang w:val="mk-MK"/>
        </w:rPr>
      </w:pPr>
      <w:r w:rsidRPr="00B654F2">
        <w:rPr>
          <w:rFonts w:ascii="Times New Roman" w:hAnsi="Times New Roman" w:cs="Times New Roman"/>
          <w:sz w:val="24"/>
          <w:szCs w:val="24"/>
          <w:lang w:val="mk-MK"/>
        </w:rPr>
        <w:t xml:space="preserve">Политиката за заштита на конкуренцијата е релативно запоставена тема во домашната јавност. Во фокусот на економските мерки за подобрување на конкурентноста на фирмите од страна на домашните политички актери често пати се заборава на значајната улога што ја има силната пазарна конкуренција врз деловното однесување на фирмите. Во бројни емпириски студии докажана е позитивната корелација помеѓу силната пазарна конкуренција и </w:t>
      </w:r>
      <w:proofErr w:type="spellStart"/>
      <w:r w:rsidRPr="00B654F2">
        <w:rPr>
          <w:rFonts w:ascii="Times New Roman" w:hAnsi="Times New Roman" w:cs="Times New Roman"/>
          <w:sz w:val="24"/>
          <w:szCs w:val="24"/>
          <w:lang w:val="mk-MK"/>
        </w:rPr>
        <w:t>одржливоста</w:t>
      </w:r>
      <w:proofErr w:type="spellEnd"/>
      <w:r w:rsidRPr="00B654F2">
        <w:rPr>
          <w:rFonts w:ascii="Times New Roman" w:hAnsi="Times New Roman" w:cs="Times New Roman"/>
          <w:sz w:val="24"/>
          <w:szCs w:val="24"/>
          <w:lang w:val="mk-MK"/>
        </w:rPr>
        <w:t xml:space="preserve"> на позитивните перформанси во работењето на фирмите. Со други зборови, фирми кои умеат успешно да се борат со конкуренцијата на домашниот пазар, успешни се и во конкурентските битки на меѓународните пазари.</w:t>
      </w:r>
      <w:r w:rsidR="00A06610" w:rsidRPr="00B654F2">
        <w:rPr>
          <w:rFonts w:ascii="Times New Roman" w:hAnsi="Times New Roman" w:cs="Times New Roman"/>
          <w:sz w:val="24"/>
          <w:szCs w:val="24"/>
          <w:lang w:val="mk-MK"/>
        </w:rPr>
        <w:t xml:space="preserve"> За жал, во македонската економија заложбите за зголемена пазарна конкуренција се само декларативни. </w:t>
      </w:r>
      <w:r w:rsidRPr="00B654F2">
        <w:rPr>
          <w:rFonts w:ascii="Times New Roman" w:hAnsi="Times New Roman" w:cs="Times New Roman"/>
          <w:sz w:val="24"/>
          <w:szCs w:val="24"/>
          <w:lang w:val="mk-MK"/>
        </w:rPr>
        <w:t>Во најголем дел ова се должи на недоследната примена на легислативата,</w:t>
      </w:r>
      <w:r w:rsidR="00A06610" w:rsidRPr="00B654F2">
        <w:rPr>
          <w:rFonts w:ascii="Times New Roman" w:hAnsi="Times New Roman" w:cs="Times New Roman"/>
          <w:sz w:val="24"/>
          <w:szCs w:val="24"/>
          <w:lang w:val="mk-MK"/>
        </w:rPr>
        <w:t xml:space="preserve"> </w:t>
      </w:r>
      <w:r w:rsidR="006B2E97" w:rsidRPr="00B654F2">
        <w:rPr>
          <w:rFonts w:ascii="Times New Roman" w:hAnsi="Times New Roman" w:cs="Times New Roman"/>
          <w:sz w:val="24"/>
          <w:szCs w:val="24"/>
          <w:lang w:val="mk-MK"/>
        </w:rPr>
        <w:t xml:space="preserve">на </w:t>
      </w:r>
      <w:r w:rsidR="00A06610" w:rsidRPr="00B654F2">
        <w:rPr>
          <w:rFonts w:ascii="Times New Roman" w:hAnsi="Times New Roman" w:cs="Times New Roman"/>
          <w:sz w:val="24"/>
          <w:szCs w:val="24"/>
          <w:lang w:val="mk-MK"/>
        </w:rPr>
        <w:t xml:space="preserve">слабиот институционален капацитет во креирањето и </w:t>
      </w:r>
      <w:r w:rsidR="00E5107B" w:rsidRPr="00B654F2">
        <w:rPr>
          <w:rFonts w:ascii="Times New Roman" w:hAnsi="Times New Roman" w:cs="Times New Roman"/>
          <w:sz w:val="24"/>
          <w:szCs w:val="24"/>
          <w:lang w:val="mk-MK"/>
        </w:rPr>
        <w:t>спроведувањето</w:t>
      </w:r>
      <w:r w:rsidR="00A06610" w:rsidRPr="00B654F2">
        <w:rPr>
          <w:rFonts w:ascii="Times New Roman" w:hAnsi="Times New Roman" w:cs="Times New Roman"/>
          <w:sz w:val="24"/>
          <w:szCs w:val="24"/>
          <w:lang w:val="mk-MK"/>
        </w:rPr>
        <w:t xml:space="preserve"> на ПЗК</w:t>
      </w:r>
      <w:r w:rsidR="006B2E97" w:rsidRPr="00B654F2">
        <w:rPr>
          <w:rFonts w:ascii="Times New Roman" w:hAnsi="Times New Roman" w:cs="Times New Roman"/>
          <w:sz w:val="24"/>
          <w:szCs w:val="24"/>
          <w:lang w:val="mk-MK"/>
        </w:rPr>
        <w:t xml:space="preserve">, на </w:t>
      </w:r>
      <w:r w:rsidR="00E5107B" w:rsidRPr="00B654F2">
        <w:rPr>
          <w:rFonts w:ascii="Times New Roman" w:hAnsi="Times New Roman" w:cs="Times New Roman"/>
          <w:sz w:val="24"/>
          <w:szCs w:val="24"/>
          <w:lang w:val="mk-MK"/>
        </w:rPr>
        <w:t>отсуството на политичка волја за суштинско</w:t>
      </w:r>
      <w:r w:rsidR="006B2E97" w:rsidRPr="00B654F2">
        <w:rPr>
          <w:rFonts w:ascii="Times New Roman" w:hAnsi="Times New Roman" w:cs="Times New Roman"/>
          <w:sz w:val="24"/>
          <w:szCs w:val="24"/>
          <w:lang w:val="mk-MK"/>
        </w:rPr>
        <w:t xml:space="preserve"> вложување во развојот на независноста и кредибилитетот на КЗК</w:t>
      </w:r>
      <w:r w:rsidR="008840AE" w:rsidRPr="00B654F2">
        <w:rPr>
          <w:rFonts w:ascii="Times New Roman" w:hAnsi="Times New Roman" w:cs="Times New Roman"/>
          <w:sz w:val="24"/>
          <w:szCs w:val="24"/>
        </w:rPr>
        <w:t xml:space="preserve"> </w:t>
      </w:r>
      <w:r w:rsidR="008840AE" w:rsidRPr="00B654F2">
        <w:rPr>
          <w:rFonts w:ascii="Times New Roman" w:hAnsi="Times New Roman" w:cs="Times New Roman"/>
          <w:sz w:val="24"/>
          <w:szCs w:val="24"/>
          <w:lang w:val="mk-MK"/>
        </w:rPr>
        <w:t>како институција и на политиката за заштита на конкуренцијата воопшто</w:t>
      </w:r>
      <w:r w:rsidRPr="00B654F2">
        <w:rPr>
          <w:rFonts w:ascii="Times New Roman" w:hAnsi="Times New Roman" w:cs="Times New Roman"/>
          <w:sz w:val="24"/>
          <w:szCs w:val="24"/>
          <w:lang w:val="mk-MK"/>
        </w:rPr>
        <w:t>.</w:t>
      </w:r>
    </w:p>
    <w:p w:rsidR="002977BF" w:rsidRPr="00B654F2" w:rsidRDefault="001201A7" w:rsidP="00E8639B">
      <w:pPr>
        <w:spacing w:line="276" w:lineRule="auto"/>
        <w:jc w:val="both"/>
        <w:rPr>
          <w:rFonts w:ascii="Times New Roman" w:hAnsi="Times New Roman" w:cs="Times New Roman"/>
          <w:sz w:val="24"/>
          <w:szCs w:val="24"/>
          <w:lang w:val="mk-MK"/>
        </w:rPr>
      </w:pPr>
      <w:r w:rsidRPr="00B654F2">
        <w:rPr>
          <w:rFonts w:ascii="Times New Roman" w:hAnsi="Times New Roman" w:cs="Times New Roman"/>
          <w:sz w:val="24"/>
          <w:szCs w:val="24"/>
          <w:lang w:val="mk-MK"/>
        </w:rPr>
        <w:t>И</w:t>
      </w:r>
      <w:r w:rsidR="008840AE" w:rsidRPr="00B654F2">
        <w:rPr>
          <w:rFonts w:ascii="Times New Roman" w:hAnsi="Times New Roman" w:cs="Times New Roman"/>
          <w:sz w:val="24"/>
          <w:szCs w:val="24"/>
          <w:lang w:val="mk-MK"/>
        </w:rPr>
        <w:t>сто така, и Европската Комисија (2019) во последниот Извештај за напредокот дава конкретна оценка дека земјата е ‘умерено подготвена’</w:t>
      </w:r>
      <w:r w:rsidR="00515F12" w:rsidRPr="00B654F2">
        <w:rPr>
          <w:rFonts w:ascii="Times New Roman" w:hAnsi="Times New Roman" w:cs="Times New Roman"/>
          <w:sz w:val="24"/>
          <w:szCs w:val="24"/>
          <w:lang w:val="mk-MK"/>
        </w:rPr>
        <w:t xml:space="preserve"> во областа на политиката за заштита на конкуренцијата, </w:t>
      </w:r>
      <w:r w:rsidR="003F25F1" w:rsidRPr="00B654F2">
        <w:rPr>
          <w:rFonts w:ascii="Times New Roman" w:hAnsi="Times New Roman" w:cs="Times New Roman"/>
          <w:sz w:val="24"/>
          <w:szCs w:val="24"/>
          <w:lang w:val="mk-MK"/>
        </w:rPr>
        <w:t xml:space="preserve">потенцирајќи ги клучните проблеми со независноста на институцијата, транспарентноста во нејзиното работење (посебно во делот на контролата на користењето на државната помош), како </w:t>
      </w:r>
      <w:r w:rsidR="00815A27">
        <w:rPr>
          <w:rFonts w:ascii="Times New Roman" w:hAnsi="Times New Roman" w:cs="Times New Roman"/>
          <w:sz w:val="24"/>
          <w:szCs w:val="24"/>
          <w:lang w:val="mk-MK"/>
        </w:rPr>
        <w:t>и проблемите</w:t>
      </w:r>
      <w:r w:rsidR="003F25F1" w:rsidRPr="00B654F2">
        <w:rPr>
          <w:rFonts w:ascii="Times New Roman" w:hAnsi="Times New Roman" w:cs="Times New Roman"/>
          <w:sz w:val="24"/>
          <w:szCs w:val="24"/>
          <w:lang w:val="mk-MK"/>
        </w:rPr>
        <w:t xml:space="preserve"> во им</w:t>
      </w:r>
      <w:r w:rsidR="00945F49">
        <w:rPr>
          <w:rFonts w:ascii="Times New Roman" w:hAnsi="Times New Roman" w:cs="Times New Roman"/>
          <w:sz w:val="24"/>
          <w:szCs w:val="24"/>
          <w:lang w:val="mk-MK"/>
        </w:rPr>
        <w:t xml:space="preserve">плементацијата на политиката </w:t>
      </w:r>
      <w:r w:rsidR="003F25F1" w:rsidRPr="00B654F2">
        <w:rPr>
          <w:rFonts w:ascii="Times New Roman" w:hAnsi="Times New Roman" w:cs="Times New Roman"/>
          <w:sz w:val="24"/>
          <w:szCs w:val="24"/>
          <w:lang w:val="mk-MK"/>
        </w:rPr>
        <w:t>за заштита на конкуренцијата.</w:t>
      </w:r>
    </w:p>
    <w:p w:rsidR="00DE5A4B" w:rsidRDefault="00012020" w:rsidP="00834521">
      <w:pPr>
        <w:spacing w:line="276" w:lineRule="auto"/>
        <w:jc w:val="both"/>
        <w:rPr>
          <w:rFonts w:ascii="Times New Roman" w:hAnsi="Times New Roman" w:cs="Times New Roman"/>
          <w:b/>
          <w:sz w:val="24"/>
          <w:szCs w:val="24"/>
          <w:lang w:val="mk-MK"/>
        </w:rPr>
      </w:pPr>
      <w:proofErr w:type="spellStart"/>
      <w:r>
        <w:rPr>
          <w:rFonts w:ascii="Times New Roman" w:hAnsi="Times New Roman" w:cs="Times New Roman"/>
          <w:sz w:val="24"/>
          <w:szCs w:val="24"/>
        </w:rPr>
        <w:t>Истражувањето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ќе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следи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следнава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mk-MK"/>
        </w:rPr>
        <w:t>структура на трудот</w:t>
      </w:r>
      <w:r w:rsidR="003F25F1" w:rsidRPr="00B654F2">
        <w:rPr>
          <w:rFonts w:ascii="Times New Roman" w:hAnsi="Times New Roman" w:cs="Times New Roman"/>
          <w:sz w:val="24"/>
          <w:szCs w:val="24"/>
          <w:lang w:val="mk-MK"/>
        </w:rPr>
        <w:t>. Во првиот дел се прави осврт врз правната рамка за заштита на конкуренцијата</w:t>
      </w:r>
      <w:r w:rsidR="00A10DAF" w:rsidRPr="00B654F2">
        <w:rPr>
          <w:rFonts w:ascii="Times New Roman" w:hAnsi="Times New Roman" w:cs="Times New Roman"/>
          <w:sz w:val="24"/>
          <w:szCs w:val="24"/>
          <w:lang w:val="mk-MK"/>
        </w:rPr>
        <w:t xml:space="preserve">, потенцирајќи го доменот на законските недоследности кои ја намалуваат ефикасната борба во напорите за зголемување на </w:t>
      </w:r>
      <w:r w:rsidR="00A10DAF" w:rsidRPr="00B654F2">
        <w:rPr>
          <w:rFonts w:ascii="Times New Roman" w:hAnsi="Times New Roman" w:cs="Times New Roman"/>
          <w:sz w:val="24"/>
          <w:szCs w:val="24"/>
          <w:lang w:val="mk-MK"/>
        </w:rPr>
        <w:lastRenderedPageBreak/>
        <w:t xml:space="preserve">пазарната </w:t>
      </w:r>
      <w:proofErr w:type="spellStart"/>
      <w:r w:rsidR="00A10DAF" w:rsidRPr="00B654F2">
        <w:rPr>
          <w:rFonts w:ascii="Times New Roman" w:hAnsi="Times New Roman" w:cs="Times New Roman"/>
          <w:sz w:val="24"/>
          <w:szCs w:val="24"/>
          <w:lang w:val="mk-MK"/>
        </w:rPr>
        <w:t>конкуренија</w:t>
      </w:r>
      <w:proofErr w:type="spellEnd"/>
      <w:r w:rsidR="00A10DAF" w:rsidRPr="00B654F2">
        <w:rPr>
          <w:rFonts w:ascii="Times New Roman" w:hAnsi="Times New Roman" w:cs="Times New Roman"/>
          <w:sz w:val="24"/>
          <w:szCs w:val="24"/>
          <w:lang w:val="mk-MK"/>
        </w:rPr>
        <w:t xml:space="preserve"> и кредибилитетот на политиката. Во вториот дел се прави емпириска анализа на реализираните активности на КЗК во периодот од 2010 до 2018 година. Со користење на секундарни податоци и на компаративниот метод со земјите од Западен Балкан се прави обид пореално да се отсликаат приликите во македонската економија во однос на третманот и примената на ПЗК. Третиот дел е посветен на анализата на финансискиот и административен капацитет на КЗК. Четвртиот дел прави сумирање на резултатите од емпириската анализа, сублимирање на проблемите и предизвиците со </w:t>
      </w:r>
      <w:r w:rsidR="007272B1" w:rsidRPr="00B654F2">
        <w:rPr>
          <w:rFonts w:ascii="Times New Roman" w:hAnsi="Times New Roman" w:cs="Times New Roman"/>
          <w:sz w:val="24"/>
          <w:szCs w:val="24"/>
          <w:lang w:val="mk-MK"/>
        </w:rPr>
        <w:t xml:space="preserve">соочува Република Северна Македонија во однос на примената на ПЗК и исполнувањето на соодветните критериуми ‘наметнати’ со интеграционите процеси на земјата. </w:t>
      </w:r>
      <w:bookmarkStart w:id="0" w:name="_GoBack"/>
      <w:bookmarkEnd w:id="0"/>
    </w:p>
    <w:p w:rsidR="0083560E" w:rsidRPr="00B654F2" w:rsidRDefault="008840AE">
      <w:pPr>
        <w:rPr>
          <w:rFonts w:ascii="Times New Roman" w:hAnsi="Times New Roman" w:cs="Times New Roman"/>
          <w:b/>
          <w:sz w:val="24"/>
          <w:szCs w:val="24"/>
          <w:lang w:val="mk-MK"/>
        </w:rPr>
      </w:pPr>
      <w:r w:rsidRPr="00B654F2">
        <w:rPr>
          <w:rFonts w:ascii="Times New Roman" w:hAnsi="Times New Roman" w:cs="Times New Roman"/>
          <w:b/>
          <w:sz w:val="24"/>
          <w:szCs w:val="24"/>
          <w:lang w:val="mk-MK"/>
        </w:rPr>
        <w:t xml:space="preserve">1. </w:t>
      </w:r>
      <w:r w:rsidR="00BB2E54" w:rsidRPr="00B654F2">
        <w:rPr>
          <w:rFonts w:ascii="Times New Roman" w:hAnsi="Times New Roman" w:cs="Times New Roman"/>
          <w:b/>
          <w:sz w:val="24"/>
          <w:szCs w:val="24"/>
          <w:lang w:val="mk-MK"/>
        </w:rPr>
        <w:t>Анализа на</w:t>
      </w:r>
      <w:r w:rsidR="0083560E" w:rsidRPr="00B654F2">
        <w:rPr>
          <w:rFonts w:ascii="Times New Roman" w:hAnsi="Times New Roman" w:cs="Times New Roman"/>
          <w:b/>
          <w:sz w:val="24"/>
          <w:szCs w:val="24"/>
          <w:lang w:val="mk-MK"/>
        </w:rPr>
        <w:t xml:space="preserve"> законската рамка за заштита на конкуренцијата</w:t>
      </w:r>
    </w:p>
    <w:p w:rsidR="00537E14" w:rsidRPr="00B654F2" w:rsidRDefault="00AC5E65" w:rsidP="00AC5E65">
      <w:pPr>
        <w:jc w:val="both"/>
        <w:rPr>
          <w:rFonts w:ascii="Times New Roman" w:hAnsi="Times New Roman" w:cs="Times New Roman"/>
          <w:sz w:val="24"/>
          <w:szCs w:val="24"/>
          <w:lang w:val="mk-MK"/>
        </w:rPr>
      </w:pPr>
      <w:r w:rsidRPr="00B654F2">
        <w:rPr>
          <w:rFonts w:ascii="Times New Roman" w:hAnsi="Times New Roman" w:cs="Times New Roman"/>
          <w:sz w:val="24"/>
          <w:szCs w:val="24"/>
          <w:lang w:val="mk-MK"/>
        </w:rPr>
        <w:t xml:space="preserve">Во 2010 година се донесе нов Закон за заштита на конкуренцијата (Сл. Весник на РМ бр. 145/10) (во понатамошниот текст ЗЗК) со кој се поставија основните рамки на легислативата за заштита на конкуренцијата во земјата. Законот беше оценет како значително усогласен со европската </w:t>
      </w:r>
      <w:proofErr w:type="spellStart"/>
      <w:r w:rsidRPr="00B654F2">
        <w:rPr>
          <w:rFonts w:ascii="Times New Roman" w:hAnsi="Times New Roman" w:cs="Times New Roman"/>
          <w:sz w:val="24"/>
          <w:szCs w:val="24"/>
          <w:lang w:val="mk-MK"/>
        </w:rPr>
        <w:t>антитрустовска</w:t>
      </w:r>
      <w:proofErr w:type="spellEnd"/>
      <w:r w:rsidRPr="00B654F2">
        <w:rPr>
          <w:rFonts w:ascii="Times New Roman" w:hAnsi="Times New Roman" w:cs="Times New Roman"/>
          <w:sz w:val="24"/>
          <w:szCs w:val="24"/>
          <w:lang w:val="mk-MK"/>
        </w:rPr>
        <w:t xml:space="preserve"> легислатива. </w:t>
      </w:r>
      <w:r w:rsidR="0013089F" w:rsidRPr="00B654F2">
        <w:rPr>
          <w:rFonts w:ascii="Times New Roman" w:hAnsi="Times New Roman" w:cs="Times New Roman"/>
          <w:sz w:val="24"/>
          <w:szCs w:val="24"/>
          <w:lang w:val="mk-MK"/>
        </w:rPr>
        <w:t xml:space="preserve">Според членот 28 од ЗЗК, Комисијата за заштита на конкуренцијата има </w:t>
      </w:r>
      <w:r w:rsidR="00BB2E54" w:rsidRPr="00B654F2">
        <w:rPr>
          <w:rFonts w:ascii="Times New Roman" w:hAnsi="Times New Roman" w:cs="Times New Roman"/>
          <w:sz w:val="24"/>
          <w:szCs w:val="24"/>
          <w:lang w:val="mk-MK"/>
        </w:rPr>
        <w:t>надлежности</w:t>
      </w:r>
      <w:r w:rsidR="0013089F" w:rsidRPr="00B654F2">
        <w:rPr>
          <w:rFonts w:ascii="Times New Roman" w:hAnsi="Times New Roman" w:cs="Times New Roman"/>
          <w:sz w:val="24"/>
          <w:szCs w:val="24"/>
          <w:lang w:val="mk-MK"/>
        </w:rPr>
        <w:t xml:space="preserve"> „да ги следи и да ги анализира состојбите на пазарот до степен потребен за развој на слободна и ефикасна конкуренција, да води управни постапки и да донесува одлуки во управна постапка, во согласност со одредбите од овој закон и Законот за контрола на државната помош“.</w:t>
      </w:r>
    </w:p>
    <w:p w:rsidR="00CD0B04" w:rsidRPr="00B654F2" w:rsidRDefault="00CD0B04" w:rsidP="00AC5E65">
      <w:pPr>
        <w:jc w:val="both"/>
        <w:rPr>
          <w:rFonts w:ascii="Times New Roman" w:hAnsi="Times New Roman" w:cs="Times New Roman"/>
          <w:sz w:val="24"/>
          <w:szCs w:val="24"/>
          <w:lang w:val="mk-MK"/>
        </w:rPr>
      </w:pPr>
      <w:r w:rsidRPr="00B654F2">
        <w:rPr>
          <w:rFonts w:ascii="Times New Roman" w:hAnsi="Times New Roman" w:cs="Times New Roman"/>
          <w:sz w:val="24"/>
          <w:szCs w:val="24"/>
          <w:lang w:val="mk-MK"/>
        </w:rPr>
        <w:t xml:space="preserve">Во однос на правната рамка за заштита на конкуренцијата, во извештаите на Европската комисија за напредокот на земјата, оценките се релативно високи и укажуваат на висока усогласеност со европската </w:t>
      </w:r>
      <w:proofErr w:type="spellStart"/>
      <w:r w:rsidRPr="00B654F2">
        <w:rPr>
          <w:rFonts w:ascii="Times New Roman" w:hAnsi="Times New Roman" w:cs="Times New Roman"/>
          <w:sz w:val="24"/>
          <w:szCs w:val="24"/>
          <w:lang w:val="mk-MK"/>
        </w:rPr>
        <w:t>антитрустовска</w:t>
      </w:r>
      <w:proofErr w:type="spellEnd"/>
      <w:r w:rsidRPr="00B654F2">
        <w:rPr>
          <w:rFonts w:ascii="Times New Roman" w:hAnsi="Times New Roman" w:cs="Times New Roman"/>
          <w:sz w:val="24"/>
          <w:szCs w:val="24"/>
          <w:lang w:val="mk-MK"/>
        </w:rPr>
        <w:t xml:space="preserve"> легислатива</w:t>
      </w:r>
      <w:r w:rsidRPr="00B654F2">
        <w:rPr>
          <w:rStyle w:val="FootnoteReference"/>
          <w:rFonts w:ascii="Times New Roman" w:hAnsi="Times New Roman" w:cs="Times New Roman"/>
          <w:sz w:val="24"/>
          <w:szCs w:val="24"/>
          <w:lang w:val="mk-MK"/>
        </w:rPr>
        <w:footnoteReference w:id="1"/>
      </w:r>
      <w:r w:rsidRPr="00B654F2">
        <w:rPr>
          <w:rFonts w:ascii="Times New Roman" w:hAnsi="Times New Roman" w:cs="Times New Roman"/>
          <w:sz w:val="24"/>
          <w:szCs w:val="24"/>
          <w:lang w:val="mk-MK"/>
        </w:rPr>
        <w:t xml:space="preserve">. КЗК релативно ажурно ги носи </w:t>
      </w:r>
      <w:proofErr w:type="spellStart"/>
      <w:r w:rsidRPr="00B654F2">
        <w:rPr>
          <w:rFonts w:ascii="Times New Roman" w:hAnsi="Times New Roman" w:cs="Times New Roman"/>
          <w:sz w:val="24"/>
          <w:szCs w:val="24"/>
          <w:lang w:val="mk-MK"/>
        </w:rPr>
        <w:t>подзаконските</w:t>
      </w:r>
      <w:proofErr w:type="spellEnd"/>
      <w:r w:rsidRPr="00B654F2">
        <w:rPr>
          <w:rFonts w:ascii="Times New Roman" w:hAnsi="Times New Roman" w:cs="Times New Roman"/>
          <w:sz w:val="24"/>
          <w:szCs w:val="24"/>
          <w:lang w:val="mk-MK"/>
        </w:rPr>
        <w:t xml:space="preserve"> акт</w:t>
      </w:r>
      <w:r w:rsidR="00C06915" w:rsidRPr="00B654F2">
        <w:rPr>
          <w:rFonts w:ascii="Times New Roman" w:hAnsi="Times New Roman" w:cs="Times New Roman"/>
          <w:sz w:val="24"/>
          <w:szCs w:val="24"/>
          <w:lang w:val="mk-MK"/>
        </w:rPr>
        <w:t xml:space="preserve">и </w:t>
      </w:r>
      <w:r w:rsidRPr="00B654F2">
        <w:rPr>
          <w:rFonts w:ascii="Times New Roman" w:hAnsi="Times New Roman" w:cs="Times New Roman"/>
          <w:sz w:val="24"/>
          <w:szCs w:val="24"/>
          <w:lang w:val="mk-MK"/>
        </w:rPr>
        <w:t xml:space="preserve">поврзани со примената на ЗЗК. </w:t>
      </w:r>
      <w:r w:rsidR="00DC48BC" w:rsidRPr="00B654F2">
        <w:rPr>
          <w:rFonts w:ascii="Times New Roman" w:hAnsi="Times New Roman" w:cs="Times New Roman"/>
          <w:sz w:val="24"/>
          <w:szCs w:val="24"/>
          <w:lang w:val="mk-MK"/>
        </w:rPr>
        <w:t xml:space="preserve">Останува да се транспонираат регулативите кои добиваат на важност со полноправното пристапување на земјата во ЕУ, а најголем дел од нив се однесуваат на работата и процедурите во однос на политиката за конкуренција пред Европската Комисија. </w:t>
      </w:r>
      <w:r w:rsidRPr="00B654F2">
        <w:rPr>
          <w:rFonts w:ascii="Times New Roman" w:hAnsi="Times New Roman" w:cs="Times New Roman"/>
          <w:sz w:val="24"/>
          <w:szCs w:val="24"/>
          <w:lang w:val="mk-MK"/>
        </w:rPr>
        <w:t>Меѓутоа, она што</w:t>
      </w:r>
      <w:r w:rsidR="00BB2E54" w:rsidRPr="00B654F2">
        <w:rPr>
          <w:rFonts w:ascii="Times New Roman" w:hAnsi="Times New Roman" w:cs="Times New Roman"/>
          <w:sz w:val="24"/>
          <w:szCs w:val="24"/>
        </w:rPr>
        <w:t xml:space="preserve"> e </w:t>
      </w:r>
      <w:r w:rsidRPr="00B654F2">
        <w:rPr>
          <w:rFonts w:ascii="Times New Roman" w:hAnsi="Times New Roman" w:cs="Times New Roman"/>
          <w:sz w:val="24"/>
          <w:szCs w:val="24"/>
          <w:lang w:val="mk-MK"/>
        </w:rPr>
        <w:t>битно</w:t>
      </w:r>
      <w:r w:rsidR="00DC48BC" w:rsidRPr="00B654F2">
        <w:rPr>
          <w:rFonts w:ascii="Times New Roman" w:hAnsi="Times New Roman" w:cs="Times New Roman"/>
          <w:sz w:val="24"/>
          <w:szCs w:val="24"/>
          <w:lang w:val="mk-MK"/>
        </w:rPr>
        <w:t xml:space="preserve"> во однос на транспонирањето и усогласувањето на законодавството е </w:t>
      </w:r>
      <w:r w:rsidR="00DB6064" w:rsidRPr="00B654F2">
        <w:rPr>
          <w:rFonts w:ascii="Times New Roman" w:hAnsi="Times New Roman" w:cs="Times New Roman"/>
          <w:sz w:val="24"/>
          <w:szCs w:val="24"/>
          <w:lang w:val="mk-MK"/>
        </w:rPr>
        <w:t>потребата од</w:t>
      </w:r>
      <w:r w:rsidR="00DC48BC" w:rsidRPr="00B654F2">
        <w:rPr>
          <w:rFonts w:ascii="Times New Roman" w:hAnsi="Times New Roman" w:cs="Times New Roman"/>
          <w:sz w:val="24"/>
          <w:szCs w:val="24"/>
          <w:lang w:val="mk-MK"/>
        </w:rPr>
        <w:t xml:space="preserve"> претходна анализа за очекуваните ефекти и потребни</w:t>
      </w:r>
      <w:r w:rsidR="00DB6064" w:rsidRPr="00B654F2">
        <w:rPr>
          <w:rFonts w:ascii="Times New Roman" w:hAnsi="Times New Roman" w:cs="Times New Roman"/>
          <w:sz w:val="24"/>
          <w:szCs w:val="24"/>
          <w:lang w:val="mk-MK"/>
        </w:rPr>
        <w:t>те</w:t>
      </w:r>
      <w:r w:rsidR="00DC48BC" w:rsidRPr="00B654F2">
        <w:rPr>
          <w:rFonts w:ascii="Times New Roman" w:hAnsi="Times New Roman" w:cs="Times New Roman"/>
          <w:sz w:val="24"/>
          <w:szCs w:val="24"/>
          <w:lang w:val="mk-MK"/>
        </w:rPr>
        <w:t xml:space="preserve"> ресурси што имплементацијата на</w:t>
      </w:r>
      <w:r w:rsidR="00BB2E54" w:rsidRPr="00B654F2">
        <w:rPr>
          <w:rFonts w:ascii="Times New Roman" w:hAnsi="Times New Roman" w:cs="Times New Roman"/>
          <w:sz w:val="24"/>
          <w:szCs w:val="24"/>
          <w:lang w:val="mk-MK"/>
        </w:rPr>
        <w:t xml:space="preserve"> ов</w:t>
      </w:r>
      <w:r w:rsidR="00DB6064" w:rsidRPr="00B654F2">
        <w:rPr>
          <w:rFonts w:ascii="Times New Roman" w:hAnsi="Times New Roman" w:cs="Times New Roman"/>
          <w:sz w:val="24"/>
          <w:szCs w:val="24"/>
          <w:lang w:val="mk-MK"/>
        </w:rPr>
        <w:t>ие</w:t>
      </w:r>
      <w:r w:rsidR="00BB2E54" w:rsidRPr="00B654F2">
        <w:rPr>
          <w:rFonts w:ascii="Times New Roman" w:hAnsi="Times New Roman" w:cs="Times New Roman"/>
          <w:sz w:val="24"/>
          <w:szCs w:val="24"/>
          <w:lang w:val="mk-MK"/>
        </w:rPr>
        <w:t xml:space="preserve"> регулативи</w:t>
      </w:r>
      <w:r w:rsidR="00DC48BC" w:rsidRPr="00B654F2">
        <w:rPr>
          <w:rFonts w:ascii="Times New Roman" w:hAnsi="Times New Roman" w:cs="Times New Roman"/>
          <w:sz w:val="24"/>
          <w:szCs w:val="24"/>
          <w:lang w:val="mk-MK"/>
        </w:rPr>
        <w:t xml:space="preserve"> ќе ги предизвика</w:t>
      </w:r>
      <w:r w:rsidR="00DB6064" w:rsidRPr="00B654F2">
        <w:rPr>
          <w:rFonts w:ascii="Times New Roman" w:hAnsi="Times New Roman" w:cs="Times New Roman"/>
          <w:sz w:val="24"/>
          <w:szCs w:val="24"/>
          <w:lang w:val="mk-MK"/>
        </w:rPr>
        <w:t>ат</w:t>
      </w:r>
      <w:r w:rsidR="00DC48BC" w:rsidRPr="00B654F2">
        <w:rPr>
          <w:rFonts w:ascii="Times New Roman" w:hAnsi="Times New Roman" w:cs="Times New Roman"/>
          <w:sz w:val="24"/>
          <w:szCs w:val="24"/>
          <w:lang w:val="mk-MK"/>
        </w:rPr>
        <w:t xml:space="preserve"> в</w:t>
      </w:r>
      <w:r w:rsidR="00BB2E54" w:rsidRPr="00B654F2">
        <w:rPr>
          <w:rFonts w:ascii="Times New Roman" w:hAnsi="Times New Roman" w:cs="Times New Roman"/>
          <w:sz w:val="24"/>
          <w:szCs w:val="24"/>
          <w:lang w:val="mk-MK"/>
        </w:rPr>
        <w:t>рз работата и функционирањето</w:t>
      </w:r>
      <w:r w:rsidR="00DC48BC" w:rsidRPr="00B654F2">
        <w:rPr>
          <w:rFonts w:ascii="Times New Roman" w:hAnsi="Times New Roman" w:cs="Times New Roman"/>
          <w:sz w:val="24"/>
          <w:szCs w:val="24"/>
          <w:lang w:val="mk-MK"/>
        </w:rPr>
        <w:t xml:space="preserve"> на КЗК.</w:t>
      </w:r>
    </w:p>
    <w:p w:rsidR="00DB6064" w:rsidRPr="00B654F2" w:rsidRDefault="00DB6064" w:rsidP="00AC5E65">
      <w:pPr>
        <w:jc w:val="both"/>
        <w:rPr>
          <w:rFonts w:ascii="Times New Roman" w:hAnsi="Times New Roman" w:cs="Times New Roman"/>
          <w:sz w:val="24"/>
          <w:szCs w:val="24"/>
          <w:lang w:val="mk-MK"/>
        </w:rPr>
      </w:pPr>
      <w:r w:rsidRPr="00B654F2">
        <w:rPr>
          <w:rFonts w:ascii="Times New Roman" w:hAnsi="Times New Roman" w:cs="Times New Roman"/>
          <w:sz w:val="24"/>
          <w:szCs w:val="24"/>
          <w:lang w:val="mk-MK"/>
        </w:rPr>
        <w:t xml:space="preserve">Во функција на зајакнување на борбата против откривањето на </w:t>
      </w:r>
      <w:proofErr w:type="spellStart"/>
      <w:r w:rsidRPr="00B654F2">
        <w:rPr>
          <w:rFonts w:ascii="Times New Roman" w:hAnsi="Times New Roman" w:cs="Times New Roman"/>
          <w:sz w:val="24"/>
          <w:szCs w:val="24"/>
          <w:lang w:val="mk-MK"/>
        </w:rPr>
        <w:t>картелските</w:t>
      </w:r>
      <w:proofErr w:type="spellEnd"/>
      <w:r w:rsidRPr="00B654F2">
        <w:rPr>
          <w:rFonts w:ascii="Times New Roman" w:hAnsi="Times New Roman" w:cs="Times New Roman"/>
          <w:sz w:val="24"/>
          <w:szCs w:val="24"/>
          <w:lang w:val="mk-MK"/>
        </w:rPr>
        <w:t xml:space="preserve"> договори и согласно насоките и препораките од Европската комисија, во 2012 година КЗК ги донесе насоките со кои се</w:t>
      </w:r>
      <w:r w:rsidR="00321ECD" w:rsidRPr="00B654F2">
        <w:rPr>
          <w:rFonts w:ascii="Times New Roman" w:hAnsi="Times New Roman" w:cs="Times New Roman"/>
          <w:sz w:val="24"/>
          <w:szCs w:val="24"/>
          <w:lang w:val="mk-MK"/>
        </w:rPr>
        <w:t xml:space="preserve"> воведе</w:t>
      </w:r>
      <w:r w:rsidRPr="00B654F2">
        <w:rPr>
          <w:rFonts w:ascii="Times New Roman" w:hAnsi="Times New Roman" w:cs="Times New Roman"/>
          <w:sz w:val="24"/>
          <w:szCs w:val="24"/>
          <w:lang w:val="mk-MK"/>
        </w:rPr>
        <w:t xml:space="preserve"> програмата за </w:t>
      </w:r>
      <w:r w:rsidR="00321ECD" w:rsidRPr="00B654F2">
        <w:rPr>
          <w:rFonts w:ascii="Times New Roman" w:hAnsi="Times New Roman" w:cs="Times New Roman"/>
          <w:sz w:val="24"/>
          <w:szCs w:val="24"/>
          <w:lang w:val="mk-MK"/>
        </w:rPr>
        <w:t>попустливост (</w:t>
      </w:r>
      <w:proofErr w:type="spellStart"/>
      <w:r w:rsidR="00321ECD" w:rsidRPr="00B654F2">
        <w:rPr>
          <w:rFonts w:ascii="Times New Roman" w:hAnsi="Times New Roman" w:cs="Times New Roman"/>
          <w:bCs/>
          <w:sz w:val="24"/>
          <w:szCs w:val="24"/>
          <w:lang w:val="mk-MK"/>
        </w:rPr>
        <w:t>leniency</w:t>
      </w:r>
      <w:proofErr w:type="spellEnd"/>
      <w:r w:rsidR="00321ECD" w:rsidRPr="00B654F2">
        <w:rPr>
          <w:rFonts w:ascii="Times New Roman" w:hAnsi="Times New Roman" w:cs="Times New Roman"/>
          <w:bCs/>
          <w:sz w:val="24"/>
          <w:szCs w:val="24"/>
          <w:lang w:val="mk-MK"/>
        </w:rPr>
        <w:t xml:space="preserve"> </w:t>
      </w:r>
      <w:proofErr w:type="spellStart"/>
      <w:r w:rsidR="00321ECD" w:rsidRPr="00B654F2">
        <w:rPr>
          <w:rFonts w:ascii="Times New Roman" w:hAnsi="Times New Roman" w:cs="Times New Roman"/>
          <w:bCs/>
          <w:sz w:val="24"/>
          <w:szCs w:val="24"/>
          <w:lang w:val="mk-MK"/>
        </w:rPr>
        <w:t>program</w:t>
      </w:r>
      <w:proofErr w:type="spellEnd"/>
      <w:r w:rsidR="00321ECD" w:rsidRPr="00B654F2">
        <w:rPr>
          <w:rFonts w:ascii="Times New Roman" w:hAnsi="Times New Roman" w:cs="Times New Roman"/>
          <w:bCs/>
          <w:sz w:val="24"/>
          <w:szCs w:val="24"/>
          <w:lang w:val="mk-MK"/>
        </w:rPr>
        <w:t xml:space="preserve">) како инструмент во разоткривањето и докажувањето на </w:t>
      </w:r>
      <w:proofErr w:type="spellStart"/>
      <w:r w:rsidR="00321ECD" w:rsidRPr="00B654F2">
        <w:rPr>
          <w:rFonts w:ascii="Times New Roman" w:hAnsi="Times New Roman" w:cs="Times New Roman"/>
          <w:bCs/>
          <w:sz w:val="24"/>
          <w:szCs w:val="24"/>
          <w:lang w:val="mk-MK"/>
        </w:rPr>
        <w:t>картелското</w:t>
      </w:r>
      <w:proofErr w:type="spellEnd"/>
      <w:r w:rsidR="00321ECD" w:rsidRPr="00B654F2">
        <w:rPr>
          <w:rFonts w:ascii="Times New Roman" w:hAnsi="Times New Roman" w:cs="Times New Roman"/>
          <w:bCs/>
          <w:sz w:val="24"/>
          <w:szCs w:val="24"/>
          <w:lang w:val="mk-MK"/>
        </w:rPr>
        <w:t xml:space="preserve"> однесување на фирмите. За жал оваа мерка не ги даде очекуваните резултати во домашната практика. Прво до 2014 година оваа програма не можеше да </w:t>
      </w:r>
      <w:r w:rsidR="00A8697F" w:rsidRPr="00B654F2">
        <w:rPr>
          <w:rFonts w:ascii="Times New Roman" w:hAnsi="Times New Roman" w:cs="Times New Roman"/>
          <w:bCs/>
          <w:sz w:val="24"/>
          <w:szCs w:val="24"/>
          <w:lang w:val="mk-MK"/>
        </w:rPr>
        <w:t xml:space="preserve">се </w:t>
      </w:r>
      <w:r w:rsidR="00321ECD" w:rsidRPr="00B654F2">
        <w:rPr>
          <w:rFonts w:ascii="Times New Roman" w:hAnsi="Times New Roman" w:cs="Times New Roman"/>
          <w:bCs/>
          <w:sz w:val="24"/>
          <w:szCs w:val="24"/>
          <w:lang w:val="mk-MK"/>
        </w:rPr>
        <w:t>имплементира заради контрадикторните одредби со членот 283 од Кривичниот законик</w:t>
      </w:r>
      <w:r w:rsidR="00A8697F" w:rsidRPr="00B654F2">
        <w:rPr>
          <w:rFonts w:ascii="Times New Roman" w:hAnsi="Times New Roman" w:cs="Times New Roman"/>
          <w:bCs/>
          <w:sz w:val="24"/>
          <w:szCs w:val="24"/>
          <w:lang w:val="mk-MK"/>
        </w:rPr>
        <w:t xml:space="preserve"> кој дотогаш не предвидуваше исклучок од тој член, а со кој </w:t>
      </w:r>
      <w:r w:rsidR="004C07C8">
        <w:rPr>
          <w:rFonts w:ascii="Times New Roman" w:hAnsi="Times New Roman" w:cs="Times New Roman"/>
          <w:bCs/>
          <w:sz w:val="24"/>
          <w:szCs w:val="24"/>
          <w:lang w:val="mk-MK"/>
        </w:rPr>
        <w:t>треба да</w:t>
      </w:r>
      <w:r w:rsidR="00A8697F" w:rsidRPr="00B654F2">
        <w:rPr>
          <w:rFonts w:ascii="Times New Roman" w:hAnsi="Times New Roman" w:cs="Times New Roman"/>
          <w:bCs/>
          <w:sz w:val="24"/>
          <w:szCs w:val="24"/>
          <w:lang w:val="mk-MK"/>
        </w:rPr>
        <w:t xml:space="preserve"> се гарантира ослободување од казната за лице кое ќе соработува во откривањето и докажувањето на </w:t>
      </w:r>
      <w:proofErr w:type="spellStart"/>
      <w:r w:rsidR="00A8697F" w:rsidRPr="00B654F2">
        <w:rPr>
          <w:rFonts w:ascii="Times New Roman" w:hAnsi="Times New Roman" w:cs="Times New Roman"/>
          <w:bCs/>
          <w:sz w:val="24"/>
          <w:szCs w:val="24"/>
          <w:lang w:val="mk-MK"/>
        </w:rPr>
        <w:t>картелските</w:t>
      </w:r>
      <w:proofErr w:type="spellEnd"/>
      <w:r w:rsidR="00A8697F" w:rsidRPr="00B654F2">
        <w:rPr>
          <w:rFonts w:ascii="Times New Roman" w:hAnsi="Times New Roman" w:cs="Times New Roman"/>
          <w:bCs/>
          <w:sz w:val="24"/>
          <w:szCs w:val="24"/>
          <w:lang w:val="mk-MK"/>
        </w:rPr>
        <w:t xml:space="preserve"> договори меѓу фирмите</w:t>
      </w:r>
      <w:r w:rsidR="00833F23" w:rsidRPr="00B654F2">
        <w:rPr>
          <w:rFonts w:ascii="Times New Roman" w:hAnsi="Times New Roman" w:cs="Times New Roman"/>
          <w:bCs/>
          <w:sz w:val="24"/>
          <w:szCs w:val="24"/>
          <w:lang w:val="mk-MK"/>
        </w:rPr>
        <w:t xml:space="preserve"> (КЗК, 2015)</w:t>
      </w:r>
      <w:r w:rsidR="00A8697F" w:rsidRPr="00B654F2">
        <w:rPr>
          <w:rFonts w:ascii="Times New Roman" w:hAnsi="Times New Roman" w:cs="Times New Roman"/>
          <w:bCs/>
          <w:sz w:val="24"/>
          <w:szCs w:val="24"/>
          <w:lang w:val="mk-MK"/>
        </w:rPr>
        <w:t xml:space="preserve">. </w:t>
      </w:r>
      <w:r w:rsidR="001F0ACF" w:rsidRPr="00B654F2">
        <w:rPr>
          <w:rFonts w:ascii="Times New Roman" w:hAnsi="Times New Roman" w:cs="Times New Roman"/>
          <w:bCs/>
          <w:sz w:val="24"/>
          <w:szCs w:val="24"/>
          <w:lang w:val="mk-MK"/>
        </w:rPr>
        <w:t>Второ,</w:t>
      </w:r>
      <w:r w:rsidR="00A8697F" w:rsidRPr="00B654F2">
        <w:rPr>
          <w:rFonts w:ascii="Times New Roman" w:hAnsi="Times New Roman" w:cs="Times New Roman"/>
          <w:bCs/>
          <w:sz w:val="24"/>
          <w:szCs w:val="24"/>
          <w:lang w:val="mk-MK"/>
        </w:rPr>
        <w:t xml:space="preserve"> и по </w:t>
      </w:r>
      <w:r w:rsidR="00A8697F" w:rsidRPr="00B654F2">
        <w:rPr>
          <w:rFonts w:ascii="Times New Roman" w:hAnsi="Times New Roman" w:cs="Times New Roman"/>
          <w:bCs/>
          <w:sz w:val="24"/>
          <w:szCs w:val="24"/>
          <w:lang w:val="mk-MK"/>
        </w:rPr>
        <w:lastRenderedPageBreak/>
        <w:t xml:space="preserve">усогласувањето на одредбите од овие закони, слаб е интересот на фирмите да бидат ‘корисници’ на оваа програма, бидејќи според анализата на откриените </w:t>
      </w:r>
      <w:proofErr w:type="spellStart"/>
      <w:r w:rsidR="00A8697F" w:rsidRPr="00B654F2">
        <w:rPr>
          <w:rFonts w:ascii="Times New Roman" w:hAnsi="Times New Roman" w:cs="Times New Roman"/>
          <w:bCs/>
          <w:sz w:val="24"/>
          <w:szCs w:val="24"/>
          <w:lang w:val="mk-MK"/>
        </w:rPr>
        <w:t>картелските</w:t>
      </w:r>
      <w:proofErr w:type="spellEnd"/>
      <w:r w:rsidR="00A8697F" w:rsidRPr="00B654F2">
        <w:rPr>
          <w:rFonts w:ascii="Times New Roman" w:hAnsi="Times New Roman" w:cs="Times New Roman"/>
          <w:bCs/>
          <w:sz w:val="24"/>
          <w:szCs w:val="24"/>
          <w:lang w:val="mk-MK"/>
        </w:rPr>
        <w:t xml:space="preserve"> договори, повторувањето на делото од страна на исти фирми, во исти индустрии, укажува дека казнената и кривичната политика во борбата против картелите во земјата е неефикасна. Ова имплицитно наведува дека користите од </w:t>
      </w:r>
      <w:proofErr w:type="spellStart"/>
      <w:r w:rsidR="00A8697F" w:rsidRPr="00B654F2">
        <w:rPr>
          <w:rFonts w:ascii="Times New Roman" w:hAnsi="Times New Roman" w:cs="Times New Roman"/>
          <w:bCs/>
          <w:sz w:val="24"/>
          <w:szCs w:val="24"/>
          <w:lang w:val="mk-MK"/>
        </w:rPr>
        <w:t>картелското</w:t>
      </w:r>
      <w:proofErr w:type="spellEnd"/>
      <w:r w:rsidR="00A8697F" w:rsidRPr="00B654F2">
        <w:rPr>
          <w:rFonts w:ascii="Times New Roman" w:hAnsi="Times New Roman" w:cs="Times New Roman"/>
          <w:bCs/>
          <w:sz w:val="24"/>
          <w:szCs w:val="24"/>
          <w:lang w:val="mk-MK"/>
        </w:rPr>
        <w:t xml:space="preserve"> здружување на многукратно поголеми од казните што фирмите ги плаќаат за прекршувањето на одредбите од ЗЗК.</w:t>
      </w:r>
    </w:p>
    <w:p w:rsidR="00DC5E20" w:rsidRPr="00B654F2" w:rsidRDefault="00C411B3" w:rsidP="00AC5E65">
      <w:pPr>
        <w:jc w:val="both"/>
        <w:rPr>
          <w:rFonts w:ascii="Times New Roman" w:hAnsi="Times New Roman" w:cs="Times New Roman"/>
          <w:sz w:val="24"/>
          <w:szCs w:val="24"/>
          <w:lang w:val="mk-MK"/>
        </w:rPr>
      </w:pPr>
      <w:r w:rsidRPr="00B654F2">
        <w:rPr>
          <w:rFonts w:ascii="Times New Roman" w:hAnsi="Times New Roman" w:cs="Times New Roman"/>
          <w:sz w:val="24"/>
          <w:szCs w:val="24"/>
          <w:lang w:val="mk-MK"/>
        </w:rPr>
        <w:t xml:space="preserve">Друга слабост во домашната правна пракса е отсуството на приватното спроведување на Законот за заштита на конкуренцијата, што подразбира можност оштетените страни од </w:t>
      </w:r>
      <w:proofErr w:type="spellStart"/>
      <w:r w:rsidRPr="00B654F2">
        <w:rPr>
          <w:rFonts w:ascii="Times New Roman" w:hAnsi="Times New Roman" w:cs="Times New Roman"/>
          <w:sz w:val="24"/>
          <w:szCs w:val="24"/>
          <w:lang w:val="mk-MK"/>
        </w:rPr>
        <w:t>антиконкурентските</w:t>
      </w:r>
      <w:proofErr w:type="spellEnd"/>
      <w:r w:rsidRPr="00B654F2">
        <w:rPr>
          <w:rFonts w:ascii="Times New Roman" w:hAnsi="Times New Roman" w:cs="Times New Roman"/>
          <w:sz w:val="24"/>
          <w:szCs w:val="24"/>
          <w:lang w:val="mk-MK"/>
        </w:rPr>
        <w:t xml:space="preserve"> практики на фирмите (физичките лица и конкурентските фирми) да можат да поведат приватни тужби за оштета пред националните судови. Иако во членот 58 од ЗЗК и членот 141(1) од Законот за облигациони односи, правно се дефинирани условите за приватно спроведување </w:t>
      </w:r>
      <w:r w:rsidR="004D01BC" w:rsidRPr="00B654F2">
        <w:rPr>
          <w:rFonts w:ascii="Times New Roman" w:hAnsi="Times New Roman" w:cs="Times New Roman"/>
          <w:sz w:val="24"/>
          <w:szCs w:val="24"/>
          <w:lang w:val="mk-MK"/>
        </w:rPr>
        <w:t>на ЗЗК и наплатата на оштета од попречувањето на конкуренцијата, практиката скоро и да не забележала случаи од овој домен. Причината за ова може да се бара во: слабата информираност на граѓаните и фирмите за овие законски можности и недоволната спремност и знаење на судската јавн</w:t>
      </w:r>
      <w:r w:rsidR="00582763" w:rsidRPr="00B654F2">
        <w:rPr>
          <w:rFonts w:ascii="Times New Roman" w:hAnsi="Times New Roman" w:cs="Times New Roman"/>
          <w:sz w:val="24"/>
          <w:szCs w:val="24"/>
          <w:lang w:val="mk-MK"/>
        </w:rPr>
        <w:t xml:space="preserve">ост во имплементацијата на </w:t>
      </w:r>
      <w:proofErr w:type="spellStart"/>
      <w:r w:rsidR="00582763" w:rsidRPr="00B654F2">
        <w:rPr>
          <w:rFonts w:ascii="Times New Roman" w:hAnsi="Times New Roman" w:cs="Times New Roman"/>
          <w:sz w:val="24"/>
          <w:szCs w:val="24"/>
          <w:lang w:val="mk-MK"/>
        </w:rPr>
        <w:t>антитрустовската</w:t>
      </w:r>
      <w:proofErr w:type="spellEnd"/>
      <w:r w:rsidR="00582763" w:rsidRPr="00B654F2">
        <w:rPr>
          <w:rFonts w:ascii="Times New Roman" w:hAnsi="Times New Roman" w:cs="Times New Roman"/>
          <w:sz w:val="24"/>
          <w:szCs w:val="24"/>
          <w:lang w:val="mk-MK"/>
        </w:rPr>
        <w:t xml:space="preserve"> регулатива во земјата</w:t>
      </w:r>
      <w:r w:rsidR="00582763" w:rsidRPr="00B654F2">
        <w:rPr>
          <w:rStyle w:val="FootnoteReference"/>
          <w:rFonts w:ascii="Times New Roman" w:hAnsi="Times New Roman" w:cs="Times New Roman"/>
          <w:sz w:val="24"/>
          <w:szCs w:val="24"/>
          <w:lang w:val="mk-MK"/>
        </w:rPr>
        <w:footnoteReference w:id="2"/>
      </w:r>
      <w:r w:rsidR="00582763" w:rsidRPr="00B654F2">
        <w:rPr>
          <w:rFonts w:ascii="Times New Roman" w:hAnsi="Times New Roman" w:cs="Times New Roman"/>
          <w:sz w:val="24"/>
          <w:szCs w:val="24"/>
          <w:lang w:val="mk-MK"/>
        </w:rPr>
        <w:t>.</w:t>
      </w:r>
    </w:p>
    <w:p w:rsidR="004748E5" w:rsidRPr="00B654F2" w:rsidRDefault="004748E5" w:rsidP="00AC5E65">
      <w:pPr>
        <w:jc w:val="both"/>
        <w:rPr>
          <w:rFonts w:ascii="Times New Roman" w:hAnsi="Times New Roman" w:cs="Times New Roman"/>
          <w:sz w:val="24"/>
          <w:szCs w:val="24"/>
          <w:lang w:val="mk-MK"/>
        </w:rPr>
      </w:pPr>
      <w:r w:rsidRPr="00B654F2">
        <w:rPr>
          <w:rFonts w:ascii="Times New Roman" w:hAnsi="Times New Roman" w:cs="Times New Roman"/>
          <w:sz w:val="24"/>
          <w:szCs w:val="24"/>
          <w:lang w:val="mk-MK"/>
        </w:rPr>
        <w:t xml:space="preserve">Друго битно прашање што треба да се реши е колективното обесштетување, во случај кога  фирмите со доминантна позиција на пазарот, ја злоупотребуваат својата позиција, а штетата ја трпат потрошувачите. Во досегашната пракса тоа беше случај со ЕВН Македонија и </w:t>
      </w:r>
      <w:proofErr w:type="spellStart"/>
      <w:r w:rsidRPr="00B654F2">
        <w:rPr>
          <w:rFonts w:ascii="Times New Roman" w:hAnsi="Times New Roman" w:cs="Times New Roman"/>
          <w:sz w:val="24"/>
          <w:szCs w:val="24"/>
          <w:lang w:val="mk-MK"/>
        </w:rPr>
        <w:t>Т-Мобиле</w:t>
      </w:r>
      <w:proofErr w:type="spellEnd"/>
      <w:r w:rsidRPr="00B654F2">
        <w:rPr>
          <w:rFonts w:ascii="Times New Roman" w:hAnsi="Times New Roman" w:cs="Times New Roman"/>
          <w:sz w:val="24"/>
          <w:szCs w:val="24"/>
          <w:lang w:val="mk-MK"/>
        </w:rPr>
        <w:t xml:space="preserve"> кои наплатувале неоправдани </w:t>
      </w:r>
      <w:proofErr w:type="spellStart"/>
      <w:r w:rsidRPr="00B654F2">
        <w:rPr>
          <w:rFonts w:ascii="Times New Roman" w:hAnsi="Times New Roman" w:cs="Times New Roman"/>
          <w:sz w:val="24"/>
          <w:szCs w:val="24"/>
          <w:lang w:val="mk-MK"/>
        </w:rPr>
        <w:t>манипулативни</w:t>
      </w:r>
      <w:proofErr w:type="spellEnd"/>
      <w:r w:rsidRPr="00B654F2">
        <w:rPr>
          <w:rFonts w:ascii="Times New Roman" w:hAnsi="Times New Roman" w:cs="Times New Roman"/>
          <w:sz w:val="24"/>
          <w:szCs w:val="24"/>
          <w:lang w:val="mk-MK"/>
        </w:rPr>
        <w:t xml:space="preserve"> трошоци на своите корисници, а КЗК донесе позитивни решенија за докажана злоупотреба на доминантната позиција на овие фирми на пазарот во земјата</w:t>
      </w:r>
      <w:r w:rsidR="00757434">
        <w:rPr>
          <w:rFonts w:ascii="Times New Roman" w:hAnsi="Times New Roman" w:cs="Times New Roman"/>
          <w:sz w:val="24"/>
          <w:szCs w:val="24"/>
          <w:lang w:val="mk-MK"/>
        </w:rPr>
        <w:t xml:space="preserve">, но потрошувачите останаа </w:t>
      </w:r>
      <w:proofErr w:type="spellStart"/>
      <w:r w:rsidR="00757434">
        <w:rPr>
          <w:rFonts w:ascii="Times New Roman" w:hAnsi="Times New Roman" w:cs="Times New Roman"/>
          <w:sz w:val="24"/>
          <w:szCs w:val="24"/>
          <w:lang w:val="mk-MK"/>
        </w:rPr>
        <w:t>необештетени</w:t>
      </w:r>
      <w:proofErr w:type="spellEnd"/>
      <w:r w:rsidRPr="00B654F2">
        <w:rPr>
          <w:rFonts w:ascii="Times New Roman" w:hAnsi="Times New Roman" w:cs="Times New Roman"/>
          <w:sz w:val="24"/>
          <w:szCs w:val="24"/>
          <w:lang w:val="mk-MK"/>
        </w:rPr>
        <w:t>.</w:t>
      </w:r>
    </w:p>
    <w:p w:rsidR="00D353CC" w:rsidRPr="00B654F2" w:rsidRDefault="00D353CC">
      <w:pPr>
        <w:rPr>
          <w:rFonts w:ascii="Times New Roman" w:hAnsi="Times New Roman" w:cs="Times New Roman"/>
          <w:b/>
          <w:sz w:val="24"/>
          <w:szCs w:val="24"/>
          <w:lang w:val="mk-MK"/>
        </w:rPr>
      </w:pPr>
    </w:p>
    <w:p w:rsidR="00537E14" w:rsidRPr="00B654F2" w:rsidRDefault="008840AE">
      <w:pPr>
        <w:rPr>
          <w:rFonts w:ascii="Times New Roman" w:hAnsi="Times New Roman" w:cs="Times New Roman"/>
          <w:b/>
          <w:sz w:val="24"/>
          <w:szCs w:val="24"/>
          <w:lang w:val="mk-MK"/>
        </w:rPr>
      </w:pPr>
      <w:r w:rsidRPr="00B654F2">
        <w:rPr>
          <w:rFonts w:ascii="Times New Roman" w:hAnsi="Times New Roman" w:cs="Times New Roman"/>
          <w:b/>
          <w:sz w:val="24"/>
          <w:szCs w:val="24"/>
          <w:lang w:val="mk-MK"/>
        </w:rPr>
        <w:t xml:space="preserve">2. </w:t>
      </w:r>
      <w:r w:rsidR="00537E14" w:rsidRPr="00B654F2">
        <w:rPr>
          <w:rFonts w:ascii="Times New Roman" w:hAnsi="Times New Roman" w:cs="Times New Roman"/>
          <w:b/>
          <w:sz w:val="24"/>
          <w:szCs w:val="24"/>
          <w:lang w:val="mk-MK"/>
        </w:rPr>
        <w:t xml:space="preserve">Емпириска анализа на </w:t>
      </w:r>
      <w:r w:rsidR="00073499" w:rsidRPr="00B654F2">
        <w:rPr>
          <w:rFonts w:ascii="Times New Roman" w:hAnsi="Times New Roman" w:cs="Times New Roman"/>
          <w:b/>
          <w:sz w:val="24"/>
          <w:szCs w:val="24"/>
          <w:lang w:val="mk-MK"/>
        </w:rPr>
        <w:t xml:space="preserve">примената на регулативата за заштита на </w:t>
      </w:r>
      <w:r w:rsidR="00817F37" w:rsidRPr="00B654F2">
        <w:rPr>
          <w:rFonts w:ascii="Times New Roman" w:hAnsi="Times New Roman" w:cs="Times New Roman"/>
          <w:b/>
          <w:sz w:val="24"/>
          <w:szCs w:val="24"/>
          <w:lang w:val="mk-MK"/>
        </w:rPr>
        <w:t>конкуренцијата</w:t>
      </w:r>
    </w:p>
    <w:p w:rsidR="002977BF" w:rsidRPr="00FC1B7A" w:rsidRDefault="002977BF" w:rsidP="002977BF">
      <w:pPr>
        <w:spacing w:line="276" w:lineRule="auto"/>
        <w:jc w:val="both"/>
        <w:rPr>
          <w:rFonts w:ascii="Times New Roman" w:hAnsi="Times New Roman" w:cs="Times New Roman"/>
          <w:sz w:val="24"/>
          <w:szCs w:val="24"/>
          <w:lang w:val="mk-MK"/>
        </w:rPr>
      </w:pPr>
      <w:r w:rsidRPr="00FC1B7A">
        <w:rPr>
          <w:rFonts w:ascii="Times New Roman" w:hAnsi="Times New Roman" w:cs="Times New Roman"/>
          <w:sz w:val="24"/>
          <w:szCs w:val="24"/>
          <w:lang w:val="mk-MK"/>
        </w:rPr>
        <w:t xml:space="preserve">Според предметот на делување, мерките и инструментите на </w:t>
      </w:r>
      <w:r w:rsidR="00FC1B7A">
        <w:rPr>
          <w:rFonts w:ascii="Times New Roman" w:hAnsi="Times New Roman" w:cs="Times New Roman"/>
          <w:sz w:val="24"/>
          <w:szCs w:val="24"/>
          <w:lang w:val="mk-MK"/>
        </w:rPr>
        <w:t xml:space="preserve">политиката за заштита на конкуренцијата главно </w:t>
      </w:r>
      <w:r w:rsidRPr="00FC1B7A">
        <w:rPr>
          <w:rFonts w:ascii="Times New Roman" w:hAnsi="Times New Roman" w:cs="Times New Roman"/>
          <w:sz w:val="24"/>
          <w:szCs w:val="24"/>
          <w:lang w:val="mk-MK"/>
        </w:rPr>
        <w:t>се насочени кон</w:t>
      </w:r>
      <w:r w:rsidR="00FC1B7A">
        <w:rPr>
          <w:rFonts w:ascii="Times New Roman" w:hAnsi="Times New Roman" w:cs="Times New Roman"/>
          <w:sz w:val="24"/>
          <w:szCs w:val="24"/>
          <w:lang w:val="mk-MK"/>
        </w:rPr>
        <w:t xml:space="preserve"> следниве четири столбови</w:t>
      </w:r>
      <w:r w:rsidRPr="00FC1B7A">
        <w:rPr>
          <w:rFonts w:ascii="Times New Roman" w:hAnsi="Times New Roman" w:cs="Times New Roman"/>
          <w:sz w:val="24"/>
          <w:szCs w:val="24"/>
          <w:lang w:val="mk-MK"/>
        </w:rPr>
        <w:t>:</w:t>
      </w:r>
    </w:p>
    <w:p w:rsidR="002977BF" w:rsidRPr="00FC1B7A" w:rsidRDefault="002977BF" w:rsidP="002977BF">
      <w:pPr>
        <w:pStyle w:val="ListParagraph"/>
        <w:numPr>
          <w:ilvl w:val="0"/>
          <w:numId w:val="1"/>
        </w:numPr>
        <w:spacing w:line="276" w:lineRule="auto"/>
        <w:jc w:val="both"/>
        <w:rPr>
          <w:rFonts w:ascii="Times New Roman" w:hAnsi="Times New Roman" w:cs="Times New Roman"/>
          <w:sz w:val="24"/>
          <w:szCs w:val="24"/>
          <w:lang w:val="mk-MK"/>
        </w:rPr>
      </w:pPr>
      <w:r w:rsidRPr="00FC1B7A">
        <w:rPr>
          <w:rFonts w:ascii="Times New Roman" w:hAnsi="Times New Roman" w:cs="Times New Roman"/>
          <w:sz w:val="24"/>
          <w:szCs w:val="24"/>
          <w:lang w:val="mk-MK"/>
        </w:rPr>
        <w:t>Забрана на договорите и практиките со кои се ограничуваат слободната трговија и конкуренцијата,</w:t>
      </w:r>
    </w:p>
    <w:p w:rsidR="002977BF" w:rsidRPr="00FC1B7A" w:rsidRDefault="002977BF" w:rsidP="002977BF">
      <w:pPr>
        <w:pStyle w:val="ListParagraph"/>
        <w:numPr>
          <w:ilvl w:val="0"/>
          <w:numId w:val="1"/>
        </w:numPr>
        <w:spacing w:line="276" w:lineRule="auto"/>
        <w:jc w:val="both"/>
        <w:rPr>
          <w:rFonts w:ascii="Times New Roman" w:hAnsi="Times New Roman" w:cs="Times New Roman"/>
          <w:sz w:val="24"/>
          <w:szCs w:val="24"/>
          <w:lang w:val="mk-MK"/>
        </w:rPr>
      </w:pPr>
      <w:r w:rsidRPr="00FC1B7A">
        <w:rPr>
          <w:rFonts w:ascii="Times New Roman" w:hAnsi="Times New Roman" w:cs="Times New Roman"/>
          <w:sz w:val="24"/>
          <w:szCs w:val="24"/>
          <w:lang w:val="mk-MK"/>
        </w:rPr>
        <w:t xml:space="preserve">Забрана на </w:t>
      </w:r>
      <w:proofErr w:type="spellStart"/>
      <w:r w:rsidRPr="00FC1B7A">
        <w:rPr>
          <w:rFonts w:ascii="Times New Roman" w:hAnsi="Times New Roman" w:cs="Times New Roman"/>
          <w:sz w:val="24"/>
          <w:szCs w:val="24"/>
          <w:lang w:val="mk-MK"/>
        </w:rPr>
        <w:t>антиконкурентските</w:t>
      </w:r>
      <w:proofErr w:type="spellEnd"/>
      <w:r w:rsidRPr="00FC1B7A">
        <w:rPr>
          <w:rFonts w:ascii="Times New Roman" w:hAnsi="Times New Roman" w:cs="Times New Roman"/>
          <w:sz w:val="24"/>
          <w:szCs w:val="24"/>
          <w:lang w:val="mk-MK"/>
        </w:rPr>
        <w:t xml:space="preserve"> деловни практики и злоупотребата на доминантната пазарната позиција од страна на фирмите на пазарот,</w:t>
      </w:r>
    </w:p>
    <w:p w:rsidR="002977BF" w:rsidRPr="00FC1B7A" w:rsidRDefault="002977BF" w:rsidP="002977BF">
      <w:pPr>
        <w:pStyle w:val="ListParagraph"/>
        <w:numPr>
          <w:ilvl w:val="0"/>
          <w:numId w:val="1"/>
        </w:numPr>
        <w:spacing w:line="276" w:lineRule="auto"/>
        <w:jc w:val="both"/>
        <w:rPr>
          <w:rFonts w:ascii="Times New Roman" w:hAnsi="Times New Roman" w:cs="Times New Roman"/>
          <w:sz w:val="24"/>
          <w:szCs w:val="24"/>
          <w:lang w:val="mk-MK"/>
        </w:rPr>
      </w:pPr>
      <w:r w:rsidRPr="00FC1B7A">
        <w:rPr>
          <w:rFonts w:ascii="Times New Roman" w:hAnsi="Times New Roman" w:cs="Times New Roman"/>
          <w:sz w:val="24"/>
          <w:szCs w:val="24"/>
          <w:lang w:val="mk-MK"/>
        </w:rPr>
        <w:t>Следење и контрола на спојувањата и фузиите меѓу фирмите на пазарот, и</w:t>
      </w:r>
    </w:p>
    <w:p w:rsidR="002977BF" w:rsidRDefault="002977BF" w:rsidP="002977BF">
      <w:pPr>
        <w:pStyle w:val="ListParagraph"/>
        <w:numPr>
          <w:ilvl w:val="0"/>
          <w:numId w:val="1"/>
        </w:numPr>
        <w:spacing w:line="276" w:lineRule="auto"/>
        <w:jc w:val="both"/>
        <w:rPr>
          <w:rFonts w:ascii="Times New Roman" w:hAnsi="Times New Roman" w:cs="Times New Roman"/>
          <w:sz w:val="24"/>
          <w:szCs w:val="24"/>
          <w:lang w:val="mk-MK"/>
        </w:rPr>
      </w:pPr>
      <w:r w:rsidRPr="00FC1B7A">
        <w:rPr>
          <w:rFonts w:ascii="Times New Roman" w:hAnsi="Times New Roman" w:cs="Times New Roman"/>
          <w:sz w:val="24"/>
          <w:szCs w:val="24"/>
          <w:lang w:val="mk-MK"/>
        </w:rPr>
        <w:t>Освен овие три столба на ПЗК, во рамките на нејзиното делување се покриваат и прашањата поврзани со контролата и користењето на државната помош во насока на спречување на државниот интервенционизам и нарушување на пазарната конкуренција.</w:t>
      </w:r>
    </w:p>
    <w:p w:rsidR="000314D2" w:rsidRDefault="00347044" w:rsidP="00195662">
      <w:pPr>
        <w:pStyle w:val="ListParagraph"/>
        <w:spacing w:line="276" w:lineRule="auto"/>
        <w:ind w:left="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Емпириската анализа во овој труд е фокусирана на анализа на политиката </w:t>
      </w:r>
      <w:r w:rsidR="00240F1A">
        <w:rPr>
          <w:rFonts w:ascii="Times New Roman" w:hAnsi="Times New Roman" w:cs="Times New Roman"/>
          <w:sz w:val="24"/>
          <w:szCs w:val="24"/>
          <w:lang w:val="mk-MK"/>
        </w:rPr>
        <w:t>за заштита на конкуренцијата во првите три столбови, додека сегментот на контролата на користењето на државната помош ќе биде изоставена</w:t>
      </w:r>
      <w:r w:rsidR="00E503FC">
        <w:rPr>
          <w:rFonts w:ascii="Times New Roman" w:hAnsi="Times New Roman" w:cs="Times New Roman"/>
          <w:sz w:val="24"/>
          <w:szCs w:val="24"/>
          <w:lang w:val="mk-MK"/>
        </w:rPr>
        <w:t>, заради спецификите во процедурата на контролата и користењето на државната помош, а во еден дел и заради целите за кои овој инструмент може да се (зло)употреби</w:t>
      </w:r>
      <w:r w:rsidR="00240F1A">
        <w:rPr>
          <w:rFonts w:ascii="Times New Roman" w:hAnsi="Times New Roman" w:cs="Times New Roman"/>
          <w:sz w:val="24"/>
          <w:szCs w:val="24"/>
          <w:lang w:val="mk-MK"/>
        </w:rPr>
        <w:t>.</w:t>
      </w:r>
      <w:r>
        <w:rPr>
          <w:rFonts w:ascii="Times New Roman" w:hAnsi="Times New Roman" w:cs="Times New Roman"/>
          <w:sz w:val="24"/>
          <w:szCs w:val="24"/>
          <w:lang w:val="mk-MK"/>
        </w:rPr>
        <w:t xml:space="preserve"> </w:t>
      </w:r>
    </w:p>
    <w:p w:rsidR="000314D2" w:rsidRDefault="000314D2" w:rsidP="00195662">
      <w:pPr>
        <w:pStyle w:val="ListParagraph"/>
        <w:spacing w:line="276" w:lineRule="auto"/>
        <w:ind w:left="0"/>
        <w:jc w:val="both"/>
        <w:rPr>
          <w:rFonts w:ascii="Times New Roman" w:hAnsi="Times New Roman" w:cs="Times New Roman"/>
          <w:sz w:val="24"/>
          <w:szCs w:val="24"/>
          <w:lang w:val="mk-MK"/>
        </w:rPr>
      </w:pPr>
    </w:p>
    <w:p w:rsidR="00195662" w:rsidRPr="00FC1B7A" w:rsidRDefault="007A06EE" w:rsidP="00195662">
      <w:pPr>
        <w:pStyle w:val="ListParagraph"/>
        <w:spacing w:line="276" w:lineRule="auto"/>
        <w:ind w:left="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За да една земја спроведува активна политика за заштита на конкуренцијата, потребно е да има изградено јасна стратегија пред </w:t>
      </w:r>
      <w:proofErr w:type="spellStart"/>
      <w:r>
        <w:rPr>
          <w:rFonts w:ascii="Times New Roman" w:hAnsi="Times New Roman" w:cs="Times New Roman"/>
          <w:sz w:val="24"/>
          <w:szCs w:val="24"/>
          <w:lang w:val="mk-MK"/>
        </w:rPr>
        <w:t>сé</w:t>
      </w:r>
      <w:proofErr w:type="spellEnd"/>
      <w:r>
        <w:rPr>
          <w:rFonts w:ascii="Times New Roman" w:hAnsi="Times New Roman" w:cs="Times New Roman"/>
          <w:sz w:val="24"/>
          <w:szCs w:val="24"/>
          <w:lang w:val="mk-MK"/>
        </w:rPr>
        <w:t xml:space="preserve"> во борбата против </w:t>
      </w:r>
      <w:proofErr w:type="spellStart"/>
      <w:r>
        <w:rPr>
          <w:rFonts w:ascii="Times New Roman" w:hAnsi="Times New Roman" w:cs="Times New Roman"/>
          <w:sz w:val="24"/>
          <w:szCs w:val="24"/>
          <w:lang w:val="mk-MK"/>
        </w:rPr>
        <w:t>карт</w:t>
      </w:r>
      <w:r w:rsidR="007C764A">
        <w:rPr>
          <w:rFonts w:ascii="Times New Roman" w:hAnsi="Times New Roman" w:cs="Times New Roman"/>
          <w:sz w:val="24"/>
          <w:szCs w:val="24"/>
          <w:lang w:val="mk-MK"/>
        </w:rPr>
        <w:t>е</w:t>
      </w:r>
      <w:r>
        <w:rPr>
          <w:rFonts w:ascii="Times New Roman" w:hAnsi="Times New Roman" w:cs="Times New Roman"/>
          <w:sz w:val="24"/>
          <w:szCs w:val="24"/>
          <w:lang w:val="mk-MK"/>
        </w:rPr>
        <w:t>лските</w:t>
      </w:r>
      <w:proofErr w:type="spellEnd"/>
      <w:r>
        <w:rPr>
          <w:rFonts w:ascii="Times New Roman" w:hAnsi="Times New Roman" w:cs="Times New Roman"/>
          <w:sz w:val="24"/>
          <w:szCs w:val="24"/>
          <w:lang w:val="mk-MK"/>
        </w:rPr>
        <w:t xml:space="preserve"> договори на фирмите и злоупотребите на </w:t>
      </w:r>
      <w:r w:rsidR="007C764A">
        <w:rPr>
          <w:rFonts w:ascii="Times New Roman" w:hAnsi="Times New Roman" w:cs="Times New Roman"/>
          <w:sz w:val="24"/>
          <w:szCs w:val="24"/>
          <w:lang w:val="mk-MK"/>
        </w:rPr>
        <w:t>пазарната моќ од страна на доминантните фирми на пазарот.</w:t>
      </w:r>
      <w:r>
        <w:rPr>
          <w:rFonts w:ascii="Times New Roman" w:hAnsi="Times New Roman" w:cs="Times New Roman"/>
          <w:sz w:val="24"/>
          <w:szCs w:val="24"/>
          <w:lang w:val="mk-MK"/>
        </w:rPr>
        <w:t xml:space="preserve"> </w:t>
      </w:r>
      <w:r w:rsidR="006E727C">
        <w:rPr>
          <w:rFonts w:ascii="Times New Roman" w:hAnsi="Times New Roman" w:cs="Times New Roman"/>
          <w:sz w:val="24"/>
          <w:szCs w:val="24"/>
          <w:lang w:val="mk-MK"/>
        </w:rPr>
        <w:t xml:space="preserve">Тоа подразбира, најголем дел од ресурсите (финансиски и кадровски) да бидат насочени кон детекција на овој вид </w:t>
      </w:r>
      <w:proofErr w:type="spellStart"/>
      <w:r w:rsidR="006E727C">
        <w:rPr>
          <w:rFonts w:ascii="Times New Roman" w:hAnsi="Times New Roman" w:cs="Times New Roman"/>
          <w:sz w:val="24"/>
          <w:szCs w:val="24"/>
          <w:lang w:val="mk-MK"/>
        </w:rPr>
        <w:t>напрекршоци</w:t>
      </w:r>
      <w:proofErr w:type="spellEnd"/>
      <w:r w:rsidR="006E727C">
        <w:rPr>
          <w:rFonts w:ascii="Times New Roman" w:hAnsi="Times New Roman" w:cs="Times New Roman"/>
          <w:sz w:val="24"/>
          <w:szCs w:val="24"/>
          <w:lang w:val="mk-MK"/>
        </w:rPr>
        <w:t xml:space="preserve">. </w:t>
      </w:r>
      <w:r w:rsidR="007C764A">
        <w:rPr>
          <w:rFonts w:ascii="Times New Roman" w:hAnsi="Times New Roman" w:cs="Times New Roman"/>
          <w:sz w:val="24"/>
          <w:szCs w:val="24"/>
          <w:lang w:val="mk-MK"/>
        </w:rPr>
        <w:t>За жал,</w:t>
      </w:r>
      <w:r w:rsidR="008F28B3">
        <w:rPr>
          <w:rFonts w:ascii="Times New Roman" w:hAnsi="Times New Roman" w:cs="Times New Roman"/>
          <w:sz w:val="24"/>
          <w:szCs w:val="24"/>
          <w:lang w:val="mk-MK"/>
        </w:rPr>
        <w:t xml:space="preserve"> </w:t>
      </w:r>
      <w:r w:rsidR="00344EDA">
        <w:rPr>
          <w:rFonts w:ascii="Times New Roman" w:hAnsi="Times New Roman" w:cs="Times New Roman"/>
          <w:sz w:val="24"/>
          <w:szCs w:val="24"/>
          <w:lang w:val="mk-MK"/>
        </w:rPr>
        <w:t xml:space="preserve">во структурата на </w:t>
      </w:r>
      <w:r w:rsidR="008F28B3">
        <w:rPr>
          <w:rFonts w:ascii="Times New Roman" w:hAnsi="Times New Roman" w:cs="Times New Roman"/>
          <w:sz w:val="24"/>
          <w:szCs w:val="24"/>
          <w:lang w:val="mk-MK"/>
        </w:rPr>
        <w:t>обработените предмети на КЗК во периодот од 2010 до 2018 година</w:t>
      </w:r>
      <w:r w:rsidR="00344EDA">
        <w:rPr>
          <w:rFonts w:ascii="Times New Roman" w:hAnsi="Times New Roman" w:cs="Times New Roman"/>
          <w:sz w:val="24"/>
          <w:szCs w:val="24"/>
          <w:lang w:val="mk-MK"/>
        </w:rPr>
        <w:t xml:space="preserve"> доминираат предметите поврзани со </w:t>
      </w:r>
      <w:proofErr w:type="spellStart"/>
      <w:r w:rsidR="00344EDA">
        <w:rPr>
          <w:rFonts w:ascii="Times New Roman" w:hAnsi="Times New Roman" w:cs="Times New Roman"/>
          <w:sz w:val="24"/>
          <w:szCs w:val="24"/>
          <w:lang w:val="mk-MK"/>
        </w:rPr>
        <w:t>конторлата</w:t>
      </w:r>
      <w:proofErr w:type="spellEnd"/>
      <w:r w:rsidR="00344EDA">
        <w:rPr>
          <w:rFonts w:ascii="Times New Roman" w:hAnsi="Times New Roman" w:cs="Times New Roman"/>
          <w:sz w:val="24"/>
          <w:szCs w:val="24"/>
          <w:lang w:val="mk-MK"/>
        </w:rPr>
        <w:t xml:space="preserve"> на спојувањата меѓу фирмите (т.е. контролата на концентрациите на пазарот).</w:t>
      </w:r>
      <w:r w:rsidR="000F6549">
        <w:rPr>
          <w:rFonts w:ascii="Times New Roman" w:hAnsi="Times New Roman" w:cs="Times New Roman"/>
          <w:sz w:val="24"/>
          <w:szCs w:val="24"/>
          <w:lang w:val="mk-MK"/>
        </w:rPr>
        <w:t xml:space="preserve"> Речиси 90% од сработените предмети се од доменот на концентрациите, додека</w:t>
      </w:r>
      <w:r w:rsidR="004631F6">
        <w:rPr>
          <w:rFonts w:ascii="Times New Roman" w:hAnsi="Times New Roman" w:cs="Times New Roman"/>
          <w:sz w:val="24"/>
          <w:szCs w:val="24"/>
          <w:lang w:val="mk-MK"/>
        </w:rPr>
        <w:t xml:space="preserve"> речиси скромни 7% од случаите се</w:t>
      </w:r>
      <w:r w:rsidR="000F6549">
        <w:rPr>
          <w:rFonts w:ascii="Times New Roman" w:hAnsi="Times New Roman" w:cs="Times New Roman"/>
          <w:sz w:val="24"/>
          <w:szCs w:val="24"/>
          <w:lang w:val="mk-MK"/>
        </w:rPr>
        <w:t xml:space="preserve"> борбата против </w:t>
      </w:r>
      <w:proofErr w:type="spellStart"/>
      <w:r w:rsidR="004631F6">
        <w:rPr>
          <w:rFonts w:ascii="Times New Roman" w:hAnsi="Times New Roman" w:cs="Times New Roman"/>
          <w:sz w:val="24"/>
          <w:szCs w:val="24"/>
          <w:lang w:val="mk-MK"/>
        </w:rPr>
        <w:t>картелското</w:t>
      </w:r>
      <w:proofErr w:type="spellEnd"/>
      <w:r w:rsidR="004631F6">
        <w:rPr>
          <w:rFonts w:ascii="Times New Roman" w:hAnsi="Times New Roman" w:cs="Times New Roman"/>
          <w:sz w:val="24"/>
          <w:szCs w:val="24"/>
          <w:lang w:val="mk-MK"/>
        </w:rPr>
        <w:t xml:space="preserve"> здружување на фирмите (види графикон 1).</w:t>
      </w:r>
      <w:r w:rsidR="00D869C4">
        <w:rPr>
          <w:rFonts w:ascii="Times New Roman" w:hAnsi="Times New Roman" w:cs="Times New Roman"/>
          <w:sz w:val="24"/>
          <w:szCs w:val="24"/>
          <w:lang w:val="mk-MK"/>
        </w:rPr>
        <w:t xml:space="preserve"> Ова упатува на заклучокот дека во Р.С. Македонија нема ниту стратегија ниту политика за борба против </w:t>
      </w:r>
      <w:proofErr w:type="spellStart"/>
      <w:r w:rsidR="00D869C4">
        <w:rPr>
          <w:rFonts w:ascii="Times New Roman" w:hAnsi="Times New Roman" w:cs="Times New Roman"/>
          <w:sz w:val="24"/>
          <w:szCs w:val="24"/>
          <w:lang w:val="mk-MK"/>
        </w:rPr>
        <w:t>картелските</w:t>
      </w:r>
      <w:proofErr w:type="spellEnd"/>
      <w:r w:rsidR="00D869C4">
        <w:rPr>
          <w:rFonts w:ascii="Times New Roman" w:hAnsi="Times New Roman" w:cs="Times New Roman"/>
          <w:sz w:val="24"/>
          <w:szCs w:val="24"/>
          <w:lang w:val="mk-MK"/>
        </w:rPr>
        <w:t xml:space="preserve"> договори и злоупотребите од страна на доминантните фирми на пазарите. </w:t>
      </w:r>
    </w:p>
    <w:p w:rsidR="00A428C4" w:rsidRPr="00BF21AA" w:rsidRDefault="008F28B3" w:rsidP="00BF21AA">
      <w:pPr>
        <w:jc w:val="center"/>
        <w:rPr>
          <w:rFonts w:ascii="Times New Roman" w:hAnsi="Times New Roman" w:cs="Times New Roman"/>
          <w:b/>
          <w:sz w:val="24"/>
          <w:szCs w:val="24"/>
          <w:lang w:val="mk-MK"/>
        </w:rPr>
      </w:pPr>
      <w:r>
        <w:rPr>
          <w:rFonts w:ascii="Times New Roman" w:hAnsi="Times New Roman" w:cs="Times New Roman"/>
          <w:b/>
          <w:sz w:val="24"/>
          <w:szCs w:val="24"/>
          <w:lang w:val="mk-MK"/>
        </w:rPr>
        <w:t>Графикон 1:</w:t>
      </w:r>
      <w:r w:rsidR="00BF21AA" w:rsidRPr="00BF21AA">
        <w:rPr>
          <w:rFonts w:ascii="Times New Roman" w:hAnsi="Times New Roman" w:cs="Times New Roman"/>
          <w:b/>
          <w:sz w:val="24"/>
          <w:szCs w:val="24"/>
          <w:lang w:val="mk-MK"/>
        </w:rPr>
        <w:t xml:space="preserve"> Структура на обработени предмети од доменот на </w:t>
      </w:r>
      <w:proofErr w:type="spellStart"/>
      <w:r w:rsidR="00BF21AA" w:rsidRPr="00BF21AA">
        <w:rPr>
          <w:rFonts w:ascii="Times New Roman" w:hAnsi="Times New Roman" w:cs="Times New Roman"/>
          <w:b/>
          <w:sz w:val="24"/>
          <w:szCs w:val="24"/>
          <w:lang w:val="mk-MK"/>
        </w:rPr>
        <w:t>антитрустовка</w:t>
      </w:r>
      <w:proofErr w:type="spellEnd"/>
      <w:r w:rsidR="00BF21AA" w:rsidRPr="00BF21AA">
        <w:rPr>
          <w:rFonts w:ascii="Times New Roman" w:hAnsi="Times New Roman" w:cs="Times New Roman"/>
          <w:b/>
          <w:sz w:val="24"/>
          <w:szCs w:val="24"/>
          <w:lang w:val="mk-MK"/>
        </w:rPr>
        <w:t xml:space="preserve"> регулатива </w:t>
      </w:r>
      <w:r w:rsidR="00BF21AA">
        <w:rPr>
          <w:rFonts w:ascii="Times New Roman" w:hAnsi="Times New Roman" w:cs="Times New Roman"/>
          <w:b/>
          <w:sz w:val="24"/>
          <w:szCs w:val="24"/>
          <w:lang w:val="mk-MK"/>
        </w:rPr>
        <w:t>од страна на КЗК во периодот од 2010 до 2018 година</w:t>
      </w:r>
    </w:p>
    <w:p w:rsidR="00FF64CD" w:rsidRPr="00B654F2" w:rsidRDefault="00BF21AA" w:rsidP="00195662">
      <w:pPr>
        <w:jc w:val="center"/>
        <w:rPr>
          <w:rFonts w:ascii="Times New Roman" w:hAnsi="Times New Roman" w:cs="Times New Roman"/>
          <w:b/>
          <w:sz w:val="24"/>
          <w:szCs w:val="24"/>
          <w:lang w:val="mk-MK"/>
        </w:rPr>
      </w:pPr>
      <w:r>
        <w:rPr>
          <w:noProof/>
        </w:rPr>
        <w:drawing>
          <wp:inline distT="0" distB="0" distL="0" distR="0" wp14:anchorId="72DAD9C1" wp14:editId="56D5AFA8">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447D" w:rsidRPr="006238AF" w:rsidRDefault="0092447D" w:rsidP="0092447D">
      <w:pPr>
        <w:jc w:val="center"/>
        <w:rPr>
          <w:rFonts w:ascii="Times New Roman" w:hAnsi="Times New Roman" w:cs="Times New Roman"/>
          <w:sz w:val="20"/>
          <w:szCs w:val="20"/>
          <w:lang w:val="mk-MK"/>
        </w:rPr>
      </w:pPr>
      <w:r w:rsidRPr="006238AF">
        <w:rPr>
          <w:rFonts w:ascii="Times New Roman" w:hAnsi="Times New Roman" w:cs="Times New Roman"/>
          <w:sz w:val="20"/>
          <w:szCs w:val="20"/>
          <w:lang w:val="mk-MK"/>
        </w:rPr>
        <w:t xml:space="preserve">Извор: </w:t>
      </w:r>
      <w:r>
        <w:rPr>
          <w:rFonts w:ascii="Times New Roman" w:hAnsi="Times New Roman" w:cs="Times New Roman"/>
          <w:sz w:val="20"/>
          <w:szCs w:val="20"/>
          <w:lang w:val="mk-MK"/>
        </w:rPr>
        <w:t>Пресметки според податоци од г</w:t>
      </w:r>
      <w:r w:rsidRPr="006238AF">
        <w:rPr>
          <w:rFonts w:ascii="Times New Roman" w:hAnsi="Times New Roman" w:cs="Times New Roman"/>
          <w:sz w:val="20"/>
          <w:szCs w:val="20"/>
          <w:lang w:val="mk-MK"/>
        </w:rPr>
        <w:t>одишни извештаи за работата на КЗК од 2010 до 2018 година</w:t>
      </w:r>
    </w:p>
    <w:p w:rsidR="00A428C4" w:rsidRDefault="00D869C4" w:rsidP="00937340">
      <w:pPr>
        <w:jc w:val="both"/>
        <w:rPr>
          <w:rFonts w:ascii="Times New Roman" w:hAnsi="Times New Roman" w:cs="Times New Roman"/>
          <w:sz w:val="24"/>
          <w:szCs w:val="24"/>
          <w:lang w:val="mk-MK"/>
        </w:rPr>
      </w:pPr>
      <w:r w:rsidRPr="00D869C4">
        <w:rPr>
          <w:rFonts w:ascii="Times New Roman" w:hAnsi="Times New Roman" w:cs="Times New Roman"/>
          <w:sz w:val="24"/>
          <w:szCs w:val="24"/>
          <w:lang w:val="mk-MK"/>
        </w:rPr>
        <w:t>Ако се направи споредба</w:t>
      </w:r>
      <w:r>
        <w:rPr>
          <w:rFonts w:ascii="Times New Roman" w:hAnsi="Times New Roman" w:cs="Times New Roman"/>
          <w:sz w:val="24"/>
          <w:szCs w:val="24"/>
          <w:lang w:val="mk-MK"/>
        </w:rPr>
        <w:t xml:space="preserve"> со примената на политиката за заштита на конкуренцијата во земјите од Западниот Балкан, за сите нив е карактеристично </w:t>
      </w:r>
      <w:r w:rsidR="00937340">
        <w:rPr>
          <w:rFonts w:ascii="Times New Roman" w:hAnsi="Times New Roman" w:cs="Times New Roman"/>
          <w:sz w:val="24"/>
          <w:szCs w:val="24"/>
          <w:lang w:val="mk-MK"/>
        </w:rPr>
        <w:t xml:space="preserve">доминантната застапеност на предметите поврзани со контролата на </w:t>
      </w:r>
      <w:proofErr w:type="spellStart"/>
      <w:r w:rsidR="00937340">
        <w:rPr>
          <w:rFonts w:ascii="Times New Roman" w:hAnsi="Times New Roman" w:cs="Times New Roman"/>
          <w:sz w:val="24"/>
          <w:szCs w:val="24"/>
          <w:lang w:val="mk-MK"/>
        </w:rPr>
        <w:t>концнетрациите</w:t>
      </w:r>
      <w:proofErr w:type="spellEnd"/>
      <w:r w:rsidR="00937340">
        <w:rPr>
          <w:rFonts w:ascii="Times New Roman" w:hAnsi="Times New Roman" w:cs="Times New Roman"/>
          <w:sz w:val="24"/>
          <w:szCs w:val="24"/>
          <w:lang w:val="mk-MK"/>
        </w:rPr>
        <w:t>.</w:t>
      </w:r>
      <w:r w:rsidR="000314D2">
        <w:rPr>
          <w:rFonts w:ascii="Times New Roman" w:hAnsi="Times New Roman" w:cs="Times New Roman"/>
          <w:sz w:val="24"/>
          <w:szCs w:val="24"/>
          <w:lang w:val="mk-MK"/>
        </w:rPr>
        <w:t xml:space="preserve"> Односно, кај сите земји од регионот развојот и примената на политиките за заштита на конкуренцијата се на многу ниско ниво. </w:t>
      </w:r>
      <w:r w:rsidR="000314D2">
        <w:rPr>
          <w:rFonts w:ascii="Times New Roman" w:hAnsi="Times New Roman" w:cs="Times New Roman"/>
          <w:sz w:val="24"/>
          <w:szCs w:val="24"/>
          <w:lang w:val="mk-MK"/>
        </w:rPr>
        <w:lastRenderedPageBreak/>
        <w:t xml:space="preserve">За разлика од праксата во земјите од Европската унија и на Европската комисија, каде во заложбите за создавање на динамична и конкурентна економија политиката за заштита на конкуренцијата игра значајна улога. Затоа, во праксата  Европската комисија доаѓа до израз активната борба против </w:t>
      </w:r>
      <w:proofErr w:type="spellStart"/>
      <w:r w:rsidR="000314D2">
        <w:rPr>
          <w:rFonts w:ascii="Times New Roman" w:hAnsi="Times New Roman" w:cs="Times New Roman"/>
          <w:sz w:val="24"/>
          <w:szCs w:val="24"/>
          <w:lang w:val="mk-MK"/>
        </w:rPr>
        <w:t>картелското</w:t>
      </w:r>
      <w:proofErr w:type="spellEnd"/>
      <w:r w:rsidR="000314D2">
        <w:rPr>
          <w:rFonts w:ascii="Times New Roman" w:hAnsi="Times New Roman" w:cs="Times New Roman"/>
          <w:sz w:val="24"/>
          <w:szCs w:val="24"/>
          <w:lang w:val="mk-MK"/>
        </w:rPr>
        <w:t xml:space="preserve"> здружување на фирмите (види табела 1). </w:t>
      </w:r>
    </w:p>
    <w:p w:rsidR="00CF0151" w:rsidRPr="00BF21AA" w:rsidRDefault="00CF0151" w:rsidP="00CF0151">
      <w:pPr>
        <w:jc w:val="center"/>
        <w:rPr>
          <w:rFonts w:ascii="Times New Roman" w:hAnsi="Times New Roman" w:cs="Times New Roman"/>
          <w:b/>
          <w:sz w:val="24"/>
          <w:szCs w:val="24"/>
          <w:lang w:val="mk-MK"/>
        </w:rPr>
      </w:pPr>
      <w:r>
        <w:rPr>
          <w:rFonts w:ascii="Times New Roman" w:hAnsi="Times New Roman" w:cs="Times New Roman"/>
          <w:b/>
          <w:sz w:val="24"/>
          <w:szCs w:val="24"/>
          <w:lang w:val="mk-MK"/>
        </w:rPr>
        <w:t>Табела 1:</w:t>
      </w:r>
      <w:r w:rsidRPr="00BF21AA">
        <w:rPr>
          <w:rFonts w:ascii="Times New Roman" w:hAnsi="Times New Roman" w:cs="Times New Roman"/>
          <w:b/>
          <w:sz w:val="24"/>
          <w:szCs w:val="24"/>
          <w:lang w:val="mk-MK"/>
        </w:rPr>
        <w:t xml:space="preserve"> Структура на обработени предмети од доменот на </w:t>
      </w:r>
      <w:proofErr w:type="spellStart"/>
      <w:r w:rsidRPr="00BF21AA">
        <w:rPr>
          <w:rFonts w:ascii="Times New Roman" w:hAnsi="Times New Roman" w:cs="Times New Roman"/>
          <w:b/>
          <w:sz w:val="24"/>
          <w:szCs w:val="24"/>
          <w:lang w:val="mk-MK"/>
        </w:rPr>
        <w:t>антитрустовка</w:t>
      </w:r>
      <w:proofErr w:type="spellEnd"/>
      <w:r w:rsidRPr="00BF21AA">
        <w:rPr>
          <w:rFonts w:ascii="Times New Roman" w:hAnsi="Times New Roman" w:cs="Times New Roman"/>
          <w:b/>
          <w:sz w:val="24"/>
          <w:szCs w:val="24"/>
          <w:lang w:val="mk-MK"/>
        </w:rPr>
        <w:t xml:space="preserve"> регулатива </w:t>
      </w:r>
      <w:r>
        <w:rPr>
          <w:rFonts w:ascii="Times New Roman" w:hAnsi="Times New Roman" w:cs="Times New Roman"/>
          <w:b/>
          <w:sz w:val="24"/>
          <w:szCs w:val="24"/>
          <w:lang w:val="mk-MK"/>
        </w:rPr>
        <w:t>од страна на КЗК во периодот од 2010 до 2018 година</w:t>
      </w:r>
    </w:p>
    <w:tbl>
      <w:tblPr>
        <w:tblW w:w="7225" w:type="dxa"/>
        <w:jc w:val="center"/>
        <w:tblLook w:val="04A0" w:firstRow="1" w:lastRow="0" w:firstColumn="1" w:lastColumn="0" w:noHBand="0" w:noVBand="1"/>
      </w:tblPr>
      <w:tblGrid>
        <w:gridCol w:w="3160"/>
        <w:gridCol w:w="1938"/>
        <w:gridCol w:w="2127"/>
      </w:tblGrid>
      <w:tr w:rsidR="00CF0151" w:rsidRPr="00CF0151" w:rsidTr="00CF0151">
        <w:trPr>
          <w:trHeight w:val="983"/>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151" w:rsidRPr="00CF0151" w:rsidRDefault="00CF0151" w:rsidP="00CF0151">
            <w:pPr>
              <w:spacing w:after="0" w:line="240" w:lineRule="auto"/>
              <w:rPr>
                <w:rFonts w:ascii="Times New Roman" w:eastAsia="Times New Roman" w:hAnsi="Times New Roman" w:cs="Times New Roman"/>
                <w:color w:val="000000"/>
              </w:rPr>
            </w:pPr>
            <w:r w:rsidRPr="00CF0151">
              <w:rPr>
                <w:rFonts w:ascii="Times New Roman" w:eastAsia="Times New Roman" w:hAnsi="Times New Roman" w:cs="Times New Roman"/>
                <w:color w:val="000000"/>
              </w:rPr>
              <w:t> </w:t>
            </w:r>
          </w:p>
        </w:tc>
        <w:tc>
          <w:tcPr>
            <w:tcW w:w="1938"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CF0151" w:rsidRPr="00CF0151" w:rsidRDefault="00CF0151" w:rsidP="00CF0151">
            <w:pPr>
              <w:spacing w:after="0" w:line="240" w:lineRule="auto"/>
              <w:jc w:val="center"/>
              <w:rPr>
                <w:rFonts w:ascii="Times New Roman" w:eastAsia="Times New Roman" w:hAnsi="Times New Roman" w:cs="Times New Roman"/>
                <w:b/>
                <w:color w:val="000000"/>
                <w:lang w:val="mk-MK"/>
              </w:rPr>
            </w:pPr>
            <w:proofErr w:type="spellStart"/>
            <w:r w:rsidRPr="00CF0151">
              <w:rPr>
                <w:rFonts w:ascii="Times New Roman" w:eastAsia="Times New Roman" w:hAnsi="Times New Roman" w:cs="Times New Roman"/>
                <w:b/>
                <w:color w:val="000000"/>
              </w:rPr>
              <w:t>Земји</w:t>
            </w:r>
            <w:proofErr w:type="spellEnd"/>
            <w:r w:rsidRPr="00CF0151">
              <w:rPr>
                <w:rFonts w:ascii="Times New Roman" w:eastAsia="Times New Roman" w:hAnsi="Times New Roman" w:cs="Times New Roman"/>
                <w:b/>
                <w:color w:val="000000"/>
              </w:rPr>
              <w:t xml:space="preserve"> </w:t>
            </w:r>
            <w:proofErr w:type="spellStart"/>
            <w:r w:rsidRPr="00CF0151">
              <w:rPr>
                <w:rFonts w:ascii="Times New Roman" w:eastAsia="Times New Roman" w:hAnsi="Times New Roman" w:cs="Times New Roman"/>
                <w:b/>
                <w:color w:val="000000"/>
              </w:rPr>
              <w:t>од</w:t>
            </w:r>
            <w:proofErr w:type="spellEnd"/>
            <w:r w:rsidRPr="00CF0151">
              <w:rPr>
                <w:rFonts w:ascii="Times New Roman" w:eastAsia="Times New Roman" w:hAnsi="Times New Roman" w:cs="Times New Roman"/>
                <w:b/>
                <w:color w:val="000000"/>
              </w:rPr>
              <w:t xml:space="preserve"> </w:t>
            </w:r>
            <w:proofErr w:type="spellStart"/>
            <w:r w:rsidRPr="00CF0151">
              <w:rPr>
                <w:rFonts w:ascii="Times New Roman" w:eastAsia="Times New Roman" w:hAnsi="Times New Roman" w:cs="Times New Roman"/>
                <w:b/>
                <w:color w:val="000000"/>
              </w:rPr>
              <w:t>Западен</w:t>
            </w:r>
            <w:proofErr w:type="spellEnd"/>
            <w:r w:rsidRPr="00CF0151">
              <w:rPr>
                <w:rFonts w:ascii="Times New Roman" w:eastAsia="Times New Roman" w:hAnsi="Times New Roman" w:cs="Times New Roman"/>
                <w:b/>
                <w:color w:val="000000"/>
              </w:rPr>
              <w:br/>
            </w:r>
            <w:proofErr w:type="spellStart"/>
            <w:r w:rsidRPr="00CF0151">
              <w:rPr>
                <w:rFonts w:ascii="Times New Roman" w:eastAsia="Times New Roman" w:hAnsi="Times New Roman" w:cs="Times New Roman"/>
                <w:b/>
                <w:color w:val="000000"/>
              </w:rPr>
              <w:t>Балкан</w:t>
            </w:r>
            <w:proofErr w:type="spellEnd"/>
            <w:r>
              <w:rPr>
                <w:rFonts w:ascii="Times New Roman" w:eastAsia="Times New Roman" w:hAnsi="Times New Roman" w:cs="Times New Roman"/>
                <w:b/>
                <w:color w:val="000000"/>
                <w:lang w:val="mk-MK"/>
              </w:rPr>
              <w:t>*</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CF0151" w:rsidRPr="00CF0151" w:rsidRDefault="00CF0151" w:rsidP="00CF0151">
            <w:pPr>
              <w:spacing w:after="0" w:line="240" w:lineRule="auto"/>
              <w:jc w:val="center"/>
              <w:rPr>
                <w:rFonts w:ascii="Times New Roman" w:eastAsia="Times New Roman" w:hAnsi="Times New Roman" w:cs="Times New Roman"/>
                <w:b/>
                <w:color w:val="000000"/>
                <w:lang w:val="mk-MK"/>
              </w:rPr>
            </w:pPr>
            <w:proofErr w:type="spellStart"/>
            <w:r w:rsidRPr="00CF0151">
              <w:rPr>
                <w:rFonts w:ascii="Times New Roman" w:eastAsia="Times New Roman" w:hAnsi="Times New Roman" w:cs="Times New Roman"/>
                <w:b/>
                <w:color w:val="000000"/>
              </w:rPr>
              <w:t>Европска</w:t>
            </w:r>
            <w:proofErr w:type="spellEnd"/>
            <w:r w:rsidRPr="00CF0151">
              <w:rPr>
                <w:rFonts w:ascii="Times New Roman" w:eastAsia="Times New Roman" w:hAnsi="Times New Roman" w:cs="Times New Roman"/>
                <w:b/>
                <w:color w:val="000000"/>
              </w:rPr>
              <w:t xml:space="preserve"> </w:t>
            </w:r>
            <w:r w:rsidRPr="00CF0151">
              <w:rPr>
                <w:rFonts w:ascii="Times New Roman" w:eastAsia="Times New Roman" w:hAnsi="Times New Roman" w:cs="Times New Roman"/>
                <w:b/>
                <w:color w:val="000000"/>
              </w:rPr>
              <w:br/>
            </w:r>
            <w:proofErr w:type="spellStart"/>
            <w:r w:rsidRPr="00CF0151">
              <w:rPr>
                <w:rFonts w:ascii="Times New Roman" w:eastAsia="Times New Roman" w:hAnsi="Times New Roman" w:cs="Times New Roman"/>
                <w:b/>
                <w:color w:val="000000"/>
              </w:rPr>
              <w:t>Унија</w:t>
            </w:r>
            <w:proofErr w:type="spellEnd"/>
            <w:r w:rsidRPr="00CF0151">
              <w:rPr>
                <w:rFonts w:ascii="Times New Roman" w:eastAsia="Times New Roman" w:hAnsi="Times New Roman" w:cs="Times New Roman"/>
                <w:b/>
                <w:color w:val="000000"/>
              </w:rPr>
              <w:t xml:space="preserve"> (</w:t>
            </w:r>
            <w:proofErr w:type="spellStart"/>
            <w:r w:rsidRPr="00CF0151">
              <w:rPr>
                <w:rFonts w:ascii="Times New Roman" w:eastAsia="Times New Roman" w:hAnsi="Times New Roman" w:cs="Times New Roman"/>
                <w:b/>
                <w:color w:val="000000"/>
              </w:rPr>
              <w:t>случаи</w:t>
            </w:r>
            <w:proofErr w:type="spellEnd"/>
            <w:r w:rsidRPr="00CF0151">
              <w:rPr>
                <w:rFonts w:ascii="Times New Roman" w:eastAsia="Times New Roman" w:hAnsi="Times New Roman" w:cs="Times New Roman"/>
                <w:b/>
                <w:color w:val="000000"/>
              </w:rPr>
              <w:t xml:space="preserve"> </w:t>
            </w:r>
            <w:proofErr w:type="spellStart"/>
            <w:r w:rsidRPr="00CF0151">
              <w:rPr>
                <w:rFonts w:ascii="Times New Roman" w:eastAsia="Times New Roman" w:hAnsi="Times New Roman" w:cs="Times New Roman"/>
                <w:b/>
                <w:color w:val="000000"/>
              </w:rPr>
              <w:t>на</w:t>
            </w:r>
            <w:proofErr w:type="spellEnd"/>
            <w:r w:rsidRPr="00CF0151">
              <w:rPr>
                <w:rFonts w:ascii="Times New Roman" w:eastAsia="Times New Roman" w:hAnsi="Times New Roman" w:cs="Times New Roman"/>
                <w:b/>
                <w:color w:val="000000"/>
              </w:rPr>
              <w:t xml:space="preserve"> </w:t>
            </w:r>
            <w:proofErr w:type="spellStart"/>
            <w:r w:rsidRPr="00CF0151">
              <w:rPr>
                <w:rFonts w:ascii="Times New Roman" w:eastAsia="Times New Roman" w:hAnsi="Times New Roman" w:cs="Times New Roman"/>
                <w:b/>
                <w:color w:val="000000"/>
              </w:rPr>
              <w:t>Европска</w:t>
            </w:r>
            <w:proofErr w:type="spellEnd"/>
            <w:r w:rsidRPr="00CF0151">
              <w:rPr>
                <w:rFonts w:ascii="Times New Roman" w:eastAsia="Times New Roman" w:hAnsi="Times New Roman" w:cs="Times New Roman"/>
                <w:b/>
                <w:color w:val="000000"/>
              </w:rPr>
              <w:t xml:space="preserve"> </w:t>
            </w:r>
            <w:proofErr w:type="spellStart"/>
            <w:r w:rsidRPr="00CF0151">
              <w:rPr>
                <w:rFonts w:ascii="Times New Roman" w:eastAsia="Times New Roman" w:hAnsi="Times New Roman" w:cs="Times New Roman"/>
                <w:b/>
                <w:color w:val="000000"/>
              </w:rPr>
              <w:t>комисија</w:t>
            </w:r>
            <w:proofErr w:type="spellEnd"/>
            <w:r>
              <w:rPr>
                <w:rFonts w:ascii="Times New Roman" w:eastAsia="Times New Roman" w:hAnsi="Times New Roman" w:cs="Times New Roman"/>
                <w:b/>
                <w:color w:val="000000"/>
                <w:lang w:val="mk-MK"/>
              </w:rPr>
              <w:t>**</w:t>
            </w:r>
          </w:p>
        </w:tc>
      </w:tr>
      <w:tr w:rsidR="00CF0151" w:rsidRPr="00CF0151" w:rsidTr="00CF0151">
        <w:trPr>
          <w:trHeight w:val="30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F0151" w:rsidRPr="00CF0151" w:rsidRDefault="00CF0151" w:rsidP="00CF0151">
            <w:pPr>
              <w:spacing w:after="0" w:line="240" w:lineRule="auto"/>
              <w:jc w:val="center"/>
              <w:rPr>
                <w:rFonts w:ascii="Times New Roman" w:eastAsia="Times New Roman" w:hAnsi="Times New Roman" w:cs="Times New Roman"/>
                <w:color w:val="000000"/>
              </w:rPr>
            </w:pPr>
            <w:proofErr w:type="spellStart"/>
            <w:r w:rsidRPr="00CF0151">
              <w:rPr>
                <w:rFonts w:ascii="Times New Roman" w:eastAsia="Times New Roman" w:hAnsi="Times New Roman" w:cs="Times New Roman"/>
                <w:color w:val="000000"/>
              </w:rPr>
              <w:t>Картелски</w:t>
            </w:r>
            <w:proofErr w:type="spellEnd"/>
            <w:r w:rsidRPr="00CF0151">
              <w:rPr>
                <w:rFonts w:ascii="Times New Roman" w:eastAsia="Times New Roman" w:hAnsi="Times New Roman" w:cs="Times New Roman"/>
                <w:color w:val="000000"/>
              </w:rPr>
              <w:t xml:space="preserve"> </w:t>
            </w:r>
            <w:proofErr w:type="spellStart"/>
            <w:r w:rsidRPr="00CF0151">
              <w:rPr>
                <w:rFonts w:ascii="Times New Roman" w:eastAsia="Times New Roman" w:hAnsi="Times New Roman" w:cs="Times New Roman"/>
                <w:color w:val="000000"/>
              </w:rPr>
              <w:t>договори</w:t>
            </w:r>
            <w:proofErr w:type="spellEnd"/>
          </w:p>
        </w:tc>
        <w:tc>
          <w:tcPr>
            <w:tcW w:w="1938" w:type="dxa"/>
            <w:tcBorders>
              <w:top w:val="nil"/>
              <w:left w:val="nil"/>
              <w:bottom w:val="single" w:sz="4" w:space="0" w:color="auto"/>
              <w:right w:val="single" w:sz="4" w:space="0" w:color="auto"/>
            </w:tcBorders>
            <w:shd w:val="clear" w:color="auto" w:fill="auto"/>
            <w:noWrap/>
            <w:vAlign w:val="bottom"/>
            <w:hideMark/>
          </w:tcPr>
          <w:p w:rsidR="00CF0151" w:rsidRPr="00CF0151" w:rsidRDefault="00CF0151" w:rsidP="00CF0151">
            <w:pPr>
              <w:spacing w:after="0" w:line="240" w:lineRule="auto"/>
              <w:jc w:val="center"/>
              <w:rPr>
                <w:rFonts w:ascii="Times New Roman" w:eastAsia="Times New Roman" w:hAnsi="Times New Roman" w:cs="Times New Roman"/>
                <w:color w:val="000000"/>
              </w:rPr>
            </w:pPr>
            <w:r w:rsidRPr="00CF0151">
              <w:rPr>
                <w:rFonts w:ascii="Times New Roman" w:eastAsia="Times New Roman" w:hAnsi="Times New Roman" w:cs="Times New Roman"/>
                <w:color w:val="000000"/>
              </w:rPr>
              <w:t>11%</w:t>
            </w:r>
          </w:p>
        </w:tc>
        <w:tc>
          <w:tcPr>
            <w:tcW w:w="2127" w:type="dxa"/>
            <w:tcBorders>
              <w:top w:val="nil"/>
              <w:left w:val="nil"/>
              <w:bottom w:val="single" w:sz="4" w:space="0" w:color="auto"/>
              <w:right w:val="single" w:sz="4" w:space="0" w:color="auto"/>
            </w:tcBorders>
            <w:shd w:val="clear" w:color="auto" w:fill="auto"/>
            <w:noWrap/>
            <w:vAlign w:val="bottom"/>
            <w:hideMark/>
          </w:tcPr>
          <w:p w:rsidR="00CF0151" w:rsidRPr="00CF0151" w:rsidRDefault="00CF0151" w:rsidP="00CF0151">
            <w:pPr>
              <w:spacing w:after="0" w:line="240" w:lineRule="auto"/>
              <w:jc w:val="center"/>
              <w:rPr>
                <w:rFonts w:ascii="Times New Roman" w:eastAsia="Times New Roman" w:hAnsi="Times New Roman" w:cs="Times New Roman"/>
                <w:color w:val="000000"/>
              </w:rPr>
            </w:pPr>
            <w:r w:rsidRPr="00CF0151">
              <w:rPr>
                <w:rFonts w:ascii="Times New Roman" w:eastAsia="Times New Roman" w:hAnsi="Times New Roman" w:cs="Times New Roman"/>
                <w:color w:val="000000"/>
              </w:rPr>
              <w:t>31%</w:t>
            </w:r>
          </w:p>
        </w:tc>
      </w:tr>
      <w:tr w:rsidR="00CF0151" w:rsidRPr="00CF0151" w:rsidTr="00CF0151">
        <w:trPr>
          <w:trHeight w:val="600"/>
          <w:jc w:val="center"/>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F0151" w:rsidRPr="00CF0151" w:rsidRDefault="00CF0151" w:rsidP="00CF0151">
            <w:pPr>
              <w:spacing w:after="0" w:line="240" w:lineRule="auto"/>
              <w:jc w:val="center"/>
              <w:rPr>
                <w:rFonts w:ascii="Times New Roman" w:eastAsia="Times New Roman" w:hAnsi="Times New Roman" w:cs="Times New Roman"/>
                <w:color w:val="000000"/>
              </w:rPr>
            </w:pPr>
            <w:proofErr w:type="spellStart"/>
            <w:r w:rsidRPr="00CF0151">
              <w:rPr>
                <w:rFonts w:ascii="Times New Roman" w:eastAsia="Times New Roman" w:hAnsi="Times New Roman" w:cs="Times New Roman"/>
                <w:color w:val="000000"/>
              </w:rPr>
              <w:t>Злоупотреба</w:t>
            </w:r>
            <w:proofErr w:type="spellEnd"/>
            <w:r w:rsidRPr="00CF0151">
              <w:rPr>
                <w:rFonts w:ascii="Times New Roman" w:eastAsia="Times New Roman" w:hAnsi="Times New Roman" w:cs="Times New Roman"/>
                <w:color w:val="000000"/>
              </w:rPr>
              <w:t xml:space="preserve"> </w:t>
            </w:r>
            <w:proofErr w:type="spellStart"/>
            <w:r w:rsidRPr="00CF0151">
              <w:rPr>
                <w:rFonts w:ascii="Times New Roman" w:eastAsia="Times New Roman" w:hAnsi="Times New Roman" w:cs="Times New Roman"/>
                <w:color w:val="000000"/>
              </w:rPr>
              <w:t>на</w:t>
            </w:r>
            <w:proofErr w:type="spellEnd"/>
            <w:r w:rsidRPr="00CF0151">
              <w:rPr>
                <w:rFonts w:ascii="Times New Roman" w:eastAsia="Times New Roman" w:hAnsi="Times New Roman" w:cs="Times New Roman"/>
                <w:color w:val="000000"/>
              </w:rPr>
              <w:t xml:space="preserve"> </w:t>
            </w:r>
            <w:proofErr w:type="spellStart"/>
            <w:r w:rsidRPr="00CF0151">
              <w:rPr>
                <w:rFonts w:ascii="Times New Roman" w:eastAsia="Times New Roman" w:hAnsi="Times New Roman" w:cs="Times New Roman"/>
                <w:color w:val="000000"/>
              </w:rPr>
              <w:t>доминантна</w:t>
            </w:r>
            <w:proofErr w:type="spellEnd"/>
            <w:r w:rsidRPr="00CF0151">
              <w:rPr>
                <w:rFonts w:ascii="Times New Roman" w:eastAsia="Times New Roman" w:hAnsi="Times New Roman" w:cs="Times New Roman"/>
                <w:color w:val="000000"/>
              </w:rPr>
              <w:t xml:space="preserve"> </w:t>
            </w:r>
            <w:proofErr w:type="spellStart"/>
            <w:r w:rsidRPr="00CF0151">
              <w:rPr>
                <w:rFonts w:ascii="Times New Roman" w:eastAsia="Times New Roman" w:hAnsi="Times New Roman" w:cs="Times New Roman"/>
                <w:color w:val="000000"/>
              </w:rPr>
              <w:t>пазарна</w:t>
            </w:r>
            <w:proofErr w:type="spellEnd"/>
            <w:r w:rsidRPr="00CF0151">
              <w:rPr>
                <w:rFonts w:ascii="Times New Roman" w:eastAsia="Times New Roman" w:hAnsi="Times New Roman" w:cs="Times New Roman"/>
                <w:color w:val="000000"/>
              </w:rPr>
              <w:t xml:space="preserve"> </w:t>
            </w:r>
            <w:proofErr w:type="spellStart"/>
            <w:r w:rsidRPr="00CF0151">
              <w:rPr>
                <w:rFonts w:ascii="Times New Roman" w:eastAsia="Times New Roman" w:hAnsi="Times New Roman" w:cs="Times New Roman"/>
                <w:color w:val="000000"/>
              </w:rPr>
              <w:t>позиција</w:t>
            </w:r>
            <w:proofErr w:type="spellEnd"/>
          </w:p>
        </w:tc>
        <w:tc>
          <w:tcPr>
            <w:tcW w:w="1938" w:type="dxa"/>
            <w:tcBorders>
              <w:top w:val="nil"/>
              <w:left w:val="nil"/>
              <w:bottom w:val="single" w:sz="4" w:space="0" w:color="auto"/>
              <w:right w:val="single" w:sz="4" w:space="0" w:color="auto"/>
            </w:tcBorders>
            <w:shd w:val="clear" w:color="auto" w:fill="auto"/>
            <w:noWrap/>
            <w:vAlign w:val="bottom"/>
            <w:hideMark/>
          </w:tcPr>
          <w:p w:rsidR="00CF0151" w:rsidRPr="00CF0151" w:rsidRDefault="00CF0151" w:rsidP="00CF0151">
            <w:pPr>
              <w:spacing w:after="0" w:line="240" w:lineRule="auto"/>
              <w:jc w:val="center"/>
              <w:rPr>
                <w:rFonts w:ascii="Times New Roman" w:eastAsia="Times New Roman" w:hAnsi="Times New Roman" w:cs="Times New Roman"/>
                <w:color w:val="000000"/>
              </w:rPr>
            </w:pPr>
            <w:r w:rsidRPr="00CF0151">
              <w:rPr>
                <w:rFonts w:ascii="Times New Roman" w:eastAsia="Times New Roman" w:hAnsi="Times New Roman" w:cs="Times New Roman"/>
                <w:color w:val="000000"/>
              </w:rPr>
              <w:t>10%</w:t>
            </w:r>
          </w:p>
        </w:tc>
        <w:tc>
          <w:tcPr>
            <w:tcW w:w="2127" w:type="dxa"/>
            <w:tcBorders>
              <w:top w:val="nil"/>
              <w:left w:val="nil"/>
              <w:bottom w:val="single" w:sz="4" w:space="0" w:color="auto"/>
              <w:right w:val="single" w:sz="4" w:space="0" w:color="auto"/>
            </w:tcBorders>
            <w:shd w:val="clear" w:color="auto" w:fill="auto"/>
            <w:noWrap/>
            <w:vAlign w:val="bottom"/>
            <w:hideMark/>
          </w:tcPr>
          <w:p w:rsidR="00CF0151" w:rsidRPr="00CF0151" w:rsidRDefault="00CF0151" w:rsidP="00CF0151">
            <w:pPr>
              <w:spacing w:after="0" w:line="240" w:lineRule="auto"/>
              <w:jc w:val="center"/>
              <w:rPr>
                <w:rFonts w:ascii="Times New Roman" w:eastAsia="Times New Roman" w:hAnsi="Times New Roman" w:cs="Times New Roman"/>
                <w:color w:val="000000"/>
              </w:rPr>
            </w:pPr>
            <w:r w:rsidRPr="00CF0151">
              <w:rPr>
                <w:rFonts w:ascii="Times New Roman" w:eastAsia="Times New Roman" w:hAnsi="Times New Roman" w:cs="Times New Roman"/>
                <w:color w:val="000000"/>
              </w:rPr>
              <w:t>9%</w:t>
            </w:r>
          </w:p>
        </w:tc>
      </w:tr>
      <w:tr w:rsidR="00CF0151" w:rsidRPr="00CF0151" w:rsidTr="00CF0151">
        <w:trPr>
          <w:trHeight w:val="30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F0151" w:rsidRPr="00CF0151" w:rsidRDefault="00CF0151" w:rsidP="00CF0151">
            <w:pPr>
              <w:spacing w:after="0" w:line="240" w:lineRule="auto"/>
              <w:jc w:val="center"/>
              <w:rPr>
                <w:rFonts w:ascii="Times New Roman" w:eastAsia="Times New Roman" w:hAnsi="Times New Roman" w:cs="Times New Roman"/>
                <w:color w:val="000000"/>
              </w:rPr>
            </w:pPr>
            <w:proofErr w:type="spellStart"/>
            <w:r w:rsidRPr="00CF0151">
              <w:rPr>
                <w:rFonts w:ascii="Times New Roman" w:eastAsia="Times New Roman" w:hAnsi="Times New Roman" w:cs="Times New Roman"/>
                <w:color w:val="000000"/>
              </w:rPr>
              <w:t>Контрола</w:t>
            </w:r>
            <w:proofErr w:type="spellEnd"/>
            <w:r w:rsidRPr="00CF0151">
              <w:rPr>
                <w:rFonts w:ascii="Times New Roman" w:eastAsia="Times New Roman" w:hAnsi="Times New Roman" w:cs="Times New Roman"/>
                <w:color w:val="000000"/>
              </w:rPr>
              <w:t xml:space="preserve"> </w:t>
            </w:r>
            <w:proofErr w:type="spellStart"/>
            <w:r w:rsidRPr="00CF0151">
              <w:rPr>
                <w:rFonts w:ascii="Times New Roman" w:eastAsia="Times New Roman" w:hAnsi="Times New Roman" w:cs="Times New Roman"/>
                <w:color w:val="000000"/>
              </w:rPr>
              <w:t>на</w:t>
            </w:r>
            <w:proofErr w:type="spellEnd"/>
            <w:r w:rsidRPr="00CF0151">
              <w:rPr>
                <w:rFonts w:ascii="Times New Roman" w:eastAsia="Times New Roman" w:hAnsi="Times New Roman" w:cs="Times New Roman"/>
                <w:color w:val="000000"/>
              </w:rPr>
              <w:t xml:space="preserve"> </w:t>
            </w:r>
            <w:proofErr w:type="spellStart"/>
            <w:r w:rsidRPr="00CF0151">
              <w:rPr>
                <w:rFonts w:ascii="Times New Roman" w:eastAsia="Times New Roman" w:hAnsi="Times New Roman" w:cs="Times New Roman"/>
                <w:color w:val="000000"/>
              </w:rPr>
              <w:t>концентрации</w:t>
            </w:r>
            <w:proofErr w:type="spellEnd"/>
          </w:p>
        </w:tc>
        <w:tc>
          <w:tcPr>
            <w:tcW w:w="1938" w:type="dxa"/>
            <w:tcBorders>
              <w:top w:val="nil"/>
              <w:left w:val="nil"/>
              <w:bottom w:val="single" w:sz="4" w:space="0" w:color="auto"/>
              <w:right w:val="single" w:sz="4" w:space="0" w:color="auto"/>
            </w:tcBorders>
            <w:shd w:val="clear" w:color="auto" w:fill="auto"/>
            <w:noWrap/>
            <w:vAlign w:val="bottom"/>
            <w:hideMark/>
          </w:tcPr>
          <w:p w:rsidR="00CF0151" w:rsidRPr="00CF0151" w:rsidRDefault="00CF0151" w:rsidP="00CF0151">
            <w:pPr>
              <w:spacing w:after="0" w:line="240" w:lineRule="auto"/>
              <w:jc w:val="center"/>
              <w:rPr>
                <w:rFonts w:ascii="Times New Roman" w:eastAsia="Times New Roman" w:hAnsi="Times New Roman" w:cs="Times New Roman"/>
                <w:color w:val="000000"/>
              </w:rPr>
            </w:pPr>
            <w:r w:rsidRPr="00CF0151">
              <w:rPr>
                <w:rFonts w:ascii="Times New Roman" w:eastAsia="Times New Roman" w:hAnsi="Times New Roman" w:cs="Times New Roman"/>
                <w:color w:val="000000"/>
              </w:rPr>
              <w:t>79%</w:t>
            </w:r>
          </w:p>
        </w:tc>
        <w:tc>
          <w:tcPr>
            <w:tcW w:w="2127" w:type="dxa"/>
            <w:tcBorders>
              <w:top w:val="nil"/>
              <w:left w:val="nil"/>
              <w:bottom w:val="single" w:sz="4" w:space="0" w:color="auto"/>
              <w:right w:val="single" w:sz="4" w:space="0" w:color="auto"/>
            </w:tcBorders>
            <w:shd w:val="clear" w:color="auto" w:fill="auto"/>
            <w:noWrap/>
            <w:vAlign w:val="bottom"/>
            <w:hideMark/>
          </w:tcPr>
          <w:p w:rsidR="00CF0151" w:rsidRPr="00CF0151" w:rsidRDefault="00CF0151" w:rsidP="00CF0151">
            <w:pPr>
              <w:spacing w:after="0" w:line="240" w:lineRule="auto"/>
              <w:jc w:val="center"/>
              <w:rPr>
                <w:rFonts w:ascii="Times New Roman" w:eastAsia="Times New Roman" w:hAnsi="Times New Roman" w:cs="Times New Roman"/>
                <w:color w:val="000000"/>
              </w:rPr>
            </w:pPr>
            <w:r w:rsidRPr="00CF0151">
              <w:rPr>
                <w:rFonts w:ascii="Times New Roman" w:eastAsia="Times New Roman" w:hAnsi="Times New Roman" w:cs="Times New Roman"/>
                <w:color w:val="000000"/>
              </w:rPr>
              <w:t>60%</w:t>
            </w:r>
          </w:p>
        </w:tc>
      </w:tr>
    </w:tbl>
    <w:p w:rsidR="00422C6F" w:rsidRPr="00CF0151" w:rsidRDefault="00CF0151" w:rsidP="00CF0151">
      <w:pPr>
        <w:ind w:left="720"/>
        <w:jc w:val="both"/>
        <w:rPr>
          <w:rFonts w:ascii="Times New Roman" w:hAnsi="Times New Roman" w:cs="Times New Roman"/>
          <w:sz w:val="20"/>
          <w:szCs w:val="20"/>
          <w:lang w:val="mk-MK"/>
        </w:rPr>
      </w:pPr>
      <w:r w:rsidRPr="00CF0151">
        <w:rPr>
          <w:rFonts w:ascii="Times New Roman" w:hAnsi="Times New Roman" w:cs="Times New Roman"/>
          <w:sz w:val="20"/>
          <w:szCs w:val="20"/>
          <w:lang w:val="mk-MK"/>
        </w:rPr>
        <w:t>Извор:</w:t>
      </w:r>
      <w:r>
        <w:rPr>
          <w:rFonts w:ascii="Times New Roman" w:hAnsi="Times New Roman" w:cs="Times New Roman"/>
          <w:sz w:val="20"/>
          <w:szCs w:val="20"/>
          <w:lang w:val="mk-MK"/>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Penev</w:t>
      </w:r>
      <w:proofErr w:type="spellEnd"/>
      <w:r>
        <w:rPr>
          <w:rFonts w:ascii="Times New Roman" w:hAnsi="Times New Roman" w:cs="Times New Roman"/>
          <w:sz w:val="20"/>
          <w:szCs w:val="20"/>
        </w:rPr>
        <w:t xml:space="preserve"> et al. (2013)</w:t>
      </w:r>
      <w:r>
        <w:rPr>
          <w:rFonts w:ascii="Times New Roman" w:hAnsi="Times New Roman" w:cs="Times New Roman"/>
          <w:sz w:val="20"/>
          <w:szCs w:val="20"/>
          <w:lang w:val="mk-MK"/>
        </w:rPr>
        <w:t xml:space="preserve"> и податоците се однесуваат за 2012 година</w:t>
      </w:r>
      <w:r>
        <w:rPr>
          <w:rFonts w:ascii="Times New Roman" w:hAnsi="Times New Roman" w:cs="Times New Roman"/>
          <w:sz w:val="20"/>
          <w:szCs w:val="20"/>
        </w:rPr>
        <w:t xml:space="preserve">; </w:t>
      </w:r>
      <w:r>
        <w:rPr>
          <w:rFonts w:ascii="Times New Roman" w:hAnsi="Times New Roman" w:cs="Times New Roman"/>
          <w:sz w:val="20"/>
          <w:szCs w:val="20"/>
          <w:lang w:val="mk-MK"/>
        </w:rPr>
        <w:t xml:space="preserve">* Пресметки според податоци на </w:t>
      </w:r>
      <w:r>
        <w:rPr>
          <w:rFonts w:ascii="Times New Roman" w:hAnsi="Times New Roman" w:cs="Times New Roman"/>
          <w:sz w:val="20"/>
          <w:szCs w:val="20"/>
        </w:rPr>
        <w:t xml:space="preserve">DG </w:t>
      </w:r>
      <w:r w:rsidR="00280CF0">
        <w:rPr>
          <w:rFonts w:ascii="Times New Roman" w:hAnsi="Times New Roman" w:cs="Times New Roman"/>
          <w:sz w:val="20"/>
          <w:szCs w:val="20"/>
        </w:rPr>
        <w:t>Competition</w:t>
      </w:r>
      <w:r>
        <w:rPr>
          <w:rFonts w:ascii="Times New Roman" w:hAnsi="Times New Roman" w:cs="Times New Roman"/>
          <w:sz w:val="20"/>
          <w:szCs w:val="20"/>
        </w:rPr>
        <w:t xml:space="preserve"> </w:t>
      </w:r>
      <w:r>
        <w:rPr>
          <w:rFonts w:ascii="Times New Roman" w:hAnsi="Times New Roman" w:cs="Times New Roman"/>
          <w:sz w:val="20"/>
          <w:szCs w:val="20"/>
          <w:lang w:val="mk-MK"/>
        </w:rPr>
        <w:t xml:space="preserve">за </w:t>
      </w:r>
      <w:r w:rsidR="00280CF0">
        <w:rPr>
          <w:rFonts w:ascii="Times New Roman" w:hAnsi="Times New Roman" w:cs="Times New Roman"/>
          <w:sz w:val="20"/>
          <w:szCs w:val="20"/>
          <w:lang w:val="mk-MK"/>
        </w:rPr>
        <w:t>периодот</w:t>
      </w:r>
      <w:r>
        <w:rPr>
          <w:rFonts w:ascii="Times New Roman" w:hAnsi="Times New Roman" w:cs="Times New Roman"/>
          <w:sz w:val="20"/>
          <w:szCs w:val="20"/>
          <w:lang w:val="mk-MK"/>
        </w:rPr>
        <w:t xml:space="preserve"> 2006-2019</w:t>
      </w:r>
    </w:p>
    <w:p w:rsidR="009B77C9" w:rsidRDefault="00964DA1" w:rsidP="00937340">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Во однос на контролата на концентрациите, карактеристично е релативно кусиот рок на разгледување и анализа на пријавените предлози за спојување и аквизиции помеѓу фирмите. Во периодот од 2010 до 2018 година разгледувани се 303 предлози, од кои донесени се 293 решенија. Од нив 282 предлози се безусловно одобрени, </w:t>
      </w:r>
      <w:r w:rsidR="0054403D">
        <w:rPr>
          <w:rFonts w:ascii="Times New Roman" w:hAnsi="Times New Roman" w:cs="Times New Roman"/>
          <w:sz w:val="24"/>
          <w:szCs w:val="24"/>
          <w:lang w:val="mk-MK"/>
        </w:rPr>
        <w:t xml:space="preserve">во 2 случаи се донесени условени одобрувања на концентрациите, додека само 1 решение е негативно во однос на предлогот за спојување меѓу фирмите. </w:t>
      </w:r>
      <w:r w:rsidR="009B77C9">
        <w:rPr>
          <w:rFonts w:ascii="Times New Roman" w:hAnsi="Times New Roman" w:cs="Times New Roman"/>
          <w:sz w:val="24"/>
          <w:szCs w:val="24"/>
          <w:lang w:val="mk-MK"/>
        </w:rPr>
        <w:t>Анализата на временскиот период помеѓу поднесувањето на пријавата за спојување и аквизиции меѓу фирмите и периодот на носење на</w:t>
      </w:r>
      <w:r w:rsidR="00774ED3">
        <w:rPr>
          <w:rFonts w:ascii="Times New Roman" w:hAnsi="Times New Roman" w:cs="Times New Roman"/>
          <w:sz w:val="24"/>
          <w:szCs w:val="24"/>
          <w:lang w:val="mk-MK"/>
        </w:rPr>
        <w:t xml:space="preserve"> </w:t>
      </w:r>
      <w:r w:rsidR="009B77C9">
        <w:rPr>
          <w:rFonts w:ascii="Times New Roman" w:hAnsi="Times New Roman" w:cs="Times New Roman"/>
          <w:sz w:val="24"/>
          <w:szCs w:val="24"/>
          <w:lang w:val="mk-MK"/>
        </w:rPr>
        <w:t>одлуките на КЗК укажува дека најчесто ан</w:t>
      </w:r>
      <w:r w:rsidR="004F3487">
        <w:rPr>
          <w:rFonts w:ascii="Times New Roman" w:hAnsi="Times New Roman" w:cs="Times New Roman"/>
          <w:sz w:val="24"/>
          <w:szCs w:val="24"/>
          <w:lang w:val="mk-MK"/>
        </w:rPr>
        <w:t xml:space="preserve">ализите се од формален карактер. </w:t>
      </w:r>
    </w:p>
    <w:p w:rsidR="009B77C9" w:rsidRDefault="009B77C9" w:rsidP="00937340">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Во овој период, КЗК ја засилува борбата кон </w:t>
      </w:r>
      <w:proofErr w:type="spellStart"/>
      <w:r>
        <w:rPr>
          <w:rFonts w:ascii="Times New Roman" w:hAnsi="Times New Roman" w:cs="Times New Roman"/>
          <w:sz w:val="24"/>
          <w:szCs w:val="24"/>
          <w:lang w:val="mk-MK"/>
        </w:rPr>
        <w:t>картелските</w:t>
      </w:r>
      <w:proofErr w:type="spellEnd"/>
      <w:r>
        <w:rPr>
          <w:rFonts w:ascii="Times New Roman" w:hAnsi="Times New Roman" w:cs="Times New Roman"/>
          <w:sz w:val="24"/>
          <w:szCs w:val="24"/>
          <w:lang w:val="mk-MK"/>
        </w:rPr>
        <w:t xml:space="preserve"> здружувања на фирмите, посебно во 2012 и 2013 година кога отвора 6 односно 5 постапки за докажување на забранети договори. </w:t>
      </w:r>
      <w:r w:rsidR="00774ED3">
        <w:rPr>
          <w:rFonts w:ascii="Times New Roman" w:hAnsi="Times New Roman" w:cs="Times New Roman"/>
          <w:sz w:val="24"/>
          <w:szCs w:val="24"/>
          <w:lang w:val="mk-MK"/>
        </w:rPr>
        <w:t>Меѓутоа, и</w:t>
      </w:r>
      <w:r>
        <w:rPr>
          <w:rFonts w:ascii="Times New Roman" w:hAnsi="Times New Roman" w:cs="Times New Roman"/>
          <w:sz w:val="24"/>
          <w:szCs w:val="24"/>
          <w:lang w:val="mk-MK"/>
        </w:rPr>
        <w:t xml:space="preserve">ако годишните извештаи нотираат зголемување на бројот на отворените постапки, подеталната анализа на </w:t>
      </w:r>
      <w:r w:rsidR="00774ED3">
        <w:rPr>
          <w:rFonts w:ascii="Times New Roman" w:hAnsi="Times New Roman" w:cs="Times New Roman"/>
          <w:sz w:val="24"/>
          <w:szCs w:val="24"/>
          <w:lang w:val="mk-MK"/>
        </w:rPr>
        <w:t xml:space="preserve">обработените случаи укажува на следново: само за три фирми се издадени 17 решенија за утврдување на постоење на </w:t>
      </w:r>
      <w:proofErr w:type="spellStart"/>
      <w:r w:rsidR="00774ED3">
        <w:rPr>
          <w:rFonts w:ascii="Times New Roman" w:hAnsi="Times New Roman" w:cs="Times New Roman"/>
          <w:sz w:val="24"/>
          <w:szCs w:val="24"/>
          <w:lang w:val="mk-MK"/>
        </w:rPr>
        <w:t>картелско</w:t>
      </w:r>
      <w:proofErr w:type="spellEnd"/>
      <w:r w:rsidR="00774ED3">
        <w:rPr>
          <w:rFonts w:ascii="Times New Roman" w:hAnsi="Times New Roman" w:cs="Times New Roman"/>
          <w:sz w:val="24"/>
          <w:szCs w:val="24"/>
          <w:lang w:val="mk-MK"/>
        </w:rPr>
        <w:t xml:space="preserve"> здружување, од кои две фирми се од областа на фармацевтската индустрија, а една фирма е од областа на </w:t>
      </w:r>
      <w:r w:rsidR="0082148B">
        <w:rPr>
          <w:rFonts w:ascii="Times New Roman" w:hAnsi="Times New Roman" w:cs="Times New Roman"/>
          <w:sz w:val="24"/>
          <w:szCs w:val="24"/>
          <w:lang w:val="mk-MK"/>
        </w:rPr>
        <w:t xml:space="preserve">фирмите кои тргуваат со пренос на телевизиски содржини. </w:t>
      </w:r>
      <w:r w:rsidR="0029273C">
        <w:rPr>
          <w:rFonts w:ascii="Times New Roman" w:hAnsi="Times New Roman" w:cs="Times New Roman"/>
          <w:sz w:val="24"/>
          <w:szCs w:val="24"/>
          <w:lang w:val="mk-MK"/>
        </w:rPr>
        <w:t xml:space="preserve">Ова само по себе говори за неефикасноста на сите задолжени агенти во борбата против </w:t>
      </w:r>
      <w:proofErr w:type="spellStart"/>
      <w:r w:rsidR="0029273C">
        <w:rPr>
          <w:rFonts w:ascii="Times New Roman" w:hAnsi="Times New Roman" w:cs="Times New Roman"/>
          <w:sz w:val="24"/>
          <w:szCs w:val="24"/>
          <w:lang w:val="mk-MK"/>
        </w:rPr>
        <w:t>картелското</w:t>
      </w:r>
      <w:proofErr w:type="spellEnd"/>
      <w:r w:rsidR="0029273C">
        <w:rPr>
          <w:rFonts w:ascii="Times New Roman" w:hAnsi="Times New Roman" w:cs="Times New Roman"/>
          <w:sz w:val="24"/>
          <w:szCs w:val="24"/>
          <w:lang w:val="mk-MK"/>
        </w:rPr>
        <w:t xml:space="preserve"> здружување.</w:t>
      </w:r>
    </w:p>
    <w:p w:rsidR="0082148B" w:rsidRDefault="0082148B" w:rsidP="00937340">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Во однос на спречувањето на злоупотребите на пазарната моќ од страна на </w:t>
      </w:r>
      <w:r w:rsidR="005A1A6B">
        <w:rPr>
          <w:rFonts w:ascii="Times New Roman" w:hAnsi="Times New Roman" w:cs="Times New Roman"/>
          <w:sz w:val="24"/>
          <w:szCs w:val="24"/>
          <w:lang w:val="mk-MK"/>
        </w:rPr>
        <w:t>доминантните фирми на пазарот</w:t>
      </w:r>
      <w:r w:rsidR="00EF16B6">
        <w:rPr>
          <w:rFonts w:ascii="Times New Roman" w:hAnsi="Times New Roman" w:cs="Times New Roman"/>
          <w:sz w:val="24"/>
          <w:szCs w:val="24"/>
          <w:lang w:val="mk-MK"/>
        </w:rPr>
        <w:t xml:space="preserve"> во овој период,</w:t>
      </w:r>
      <w:r w:rsidR="005A1A6B">
        <w:rPr>
          <w:rFonts w:ascii="Times New Roman" w:hAnsi="Times New Roman" w:cs="Times New Roman"/>
          <w:sz w:val="24"/>
          <w:szCs w:val="24"/>
          <w:lang w:val="mk-MK"/>
        </w:rPr>
        <w:t xml:space="preserve"> анализата покажува дека во основа злоупотребата </w:t>
      </w:r>
      <w:r w:rsidR="00EF16B6">
        <w:rPr>
          <w:rFonts w:ascii="Times New Roman" w:hAnsi="Times New Roman" w:cs="Times New Roman"/>
          <w:sz w:val="24"/>
          <w:szCs w:val="24"/>
          <w:lang w:val="mk-MK"/>
        </w:rPr>
        <w:t>најчесто се јавува од страна на јавни претпријатија кои уживаат монополска моќ на регионалните пазари (тоа се најчесто јавни претпријатија за комунална хигиена задолжени за обезбедување на погребални услуги)</w:t>
      </w:r>
      <w:r w:rsidR="00DF5767">
        <w:rPr>
          <w:rFonts w:ascii="Times New Roman" w:hAnsi="Times New Roman" w:cs="Times New Roman"/>
          <w:sz w:val="24"/>
          <w:szCs w:val="24"/>
          <w:lang w:val="mk-MK"/>
        </w:rPr>
        <w:t>, потоа од фирми во телекомуникацискиот сектор</w:t>
      </w:r>
      <w:r w:rsidR="0029273C">
        <w:rPr>
          <w:rFonts w:ascii="Times New Roman" w:hAnsi="Times New Roman" w:cs="Times New Roman"/>
          <w:sz w:val="24"/>
          <w:szCs w:val="24"/>
          <w:lang w:val="mk-MK"/>
        </w:rPr>
        <w:t>. И</w:t>
      </w:r>
      <w:r w:rsidR="00DF5767">
        <w:rPr>
          <w:rFonts w:ascii="Times New Roman" w:hAnsi="Times New Roman" w:cs="Times New Roman"/>
          <w:sz w:val="24"/>
          <w:szCs w:val="24"/>
          <w:lang w:val="mk-MK"/>
        </w:rPr>
        <w:t xml:space="preserve"> овде една фирма, повеќе пати го повторува </w:t>
      </w:r>
      <w:r w:rsidR="001E43F6">
        <w:rPr>
          <w:rFonts w:ascii="Times New Roman" w:hAnsi="Times New Roman" w:cs="Times New Roman"/>
          <w:sz w:val="24"/>
          <w:szCs w:val="24"/>
          <w:lang w:val="mk-MK"/>
        </w:rPr>
        <w:t>прекршокот</w:t>
      </w:r>
      <w:r w:rsidR="00DF5767">
        <w:rPr>
          <w:rFonts w:ascii="Times New Roman" w:hAnsi="Times New Roman" w:cs="Times New Roman"/>
          <w:sz w:val="24"/>
          <w:szCs w:val="24"/>
          <w:lang w:val="mk-MK"/>
        </w:rPr>
        <w:t>.</w:t>
      </w:r>
    </w:p>
    <w:p w:rsidR="001E43F6" w:rsidRDefault="001E43F6" w:rsidP="00937340">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Повторувањето на делото од страна на  иста фирма укажува дека политиката за заштита на конкуренцијата не ги исполнува своите цели. Казните се несоодветни во споредба </w:t>
      </w:r>
      <w:r>
        <w:rPr>
          <w:rFonts w:ascii="Times New Roman" w:hAnsi="Times New Roman" w:cs="Times New Roman"/>
          <w:sz w:val="24"/>
          <w:szCs w:val="24"/>
          <w:lang w:val="mk-MK"/>
        </w:rPr>
        <w:lastRenderedPageBreak/>
        <w:t xml:space="preserve">придобивките кои ги уживаат фирмите од прекршувањето на одредбите од законот, па така фирмите имаат мотив да го повторуваат делото. </w:t>
      </w:r>
      <w:r w:rsidR="00C76676">
        <w:rPr>
          <w:rFonts w:ascii="Times New Roman" w:hAnsi="Times New Roman" w:cs="Times New Roman"/>
          <w:sz w:val="24"/>
          <w:szCs w:val="24"/>
          <w:lang w:val="mk-MK"/>
        </w:rPr>
        <w:t xml:space="preserve">Во анализираниот период исто така не се забележува користење на програмата за </w:t>
      </w:r>
      <w:proofErr w:type="spellStart"/>
      <w:r w:rsidR="00C76676">
        <w:rPr>
          <w:rFonts w:ascii="Times New Roman" w:hAnsi="Times New Roman" w:cs="Times New Roman"/>
          <w:sz w:val="24"/>
          <w:szCs w:val="24"/>
          <w:lang w:val="mk-MK"/>
        </w:rPr>
        <w:t>попусливост</w:t>
      </w:r>
      <w:proofErr w:type="spellEnd"/>
      <w:r w:rsidR="00C76676">
        <w:rPr>
          <w:rFonts w:ascii="Times New Roman" w:hAnsi="Times New Roman" w:cs="Times New Roman"/>
          <w:sz w:val="24"/>
          <w:szCs w:val="24"/>
          <w:lang w:val="mk-MK"/>
        </w:rPr>
        <w:t xml:space="preserve"> во откривањето и докажувањето на </w:t>
      </w:r>
      <w:proofErr w:type="spellStart"/>
      <w:r w:rsidR="00C76676">
        <w:rPr>
          <w:rFonts w:ascii="Times New Roman" w:hAnsi="Times New Roman" w:cs="Times New Roman"/>
          <w:sz w:val="24"/>
          <w:szCs w:val="24"/>
          <w:lang w:val="mk-MK"/>
        </w:rPr>
        <w:t>картелското</w:t>
      </w:r>
      <w:proofErr w:type="spellEnd"/>
      <w:r w:rsidR="00C76676">
        <w:rPr>
          <w:rFonts w:ascii="Times New Roman" w:hAnsi="Times New Roman" w:cs="Times New Roman"/>
          <w:sz w:val="24"/>
          <w:szCs w:val="24"/>
          <w:lang w:val="mk-MK"/>
        </w:rPr>
        <w:t xml:space="preserve"> здружување. </w:t>
      </w:r>
      <w:r>
        <w:rPr>
          <w:rFonts w:ascii="Times New Roman" w:hAnsi="Times New Roman" w:cs="Times New Roman"/>
          <w:sz w:val="24"/>
          <w:szCs w:val="24"/>
          <w:lang w:val="mk-MK"/>
        </w:rPr>
        <w:t>Во таа насока, очекуваниот ‘воспитен ефект’ односно ефектот од воздржување на фирмите да практикуваат недозволени монополски деловни стратегии целосно отсуствува.</w:t>
      </w:r>
    </w:p>
    <w:p w:rsidR="00C76676" w:rsidRDefault="008515D3" w:rsidP="00937340">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Слабата промоција на функциите и задачите на КЗК во јавноста, придобивките што зголемената пазарна конкуренција ќе ги даде за потрошувачите и фирмите во анализираниот период евидентна е појавата, професионалните здруженија свесно или несвесно да </w:t>
      </w:r>
      <w:r w:rsidR="001966D9">
        <w:rPr>
          <w:rFonts w:ascii="Times New Roman" w:hAnsi="Times New Roman" w:cs="Times New Roman"/>
          <w:sz w:val="24"/>
          <w:szCs w:val="24"/>
          <w:lang w:val="mk-MK"/>
        </w:rPr>
        <w:t xml:space="preserve">влегуваат во склучување на договори со кои целосно се ограничува </w:t>
      </w:r>
      <w:proofErr w:type="spellStart"/>
      <w:r w:rsidR="001966D9">
        <w:rPr>
          <w:rFonts w:ascii="Times New Roman" w:hAnsi="Times New Roman" w:cs="Times New Roman"/>
          <w:sz w:val="24"/>
          <w:szCs w:val="24"/>
          <w:lang w:val="mk-MK"/>
        </w:rPr>
        <w:t>ценовната</w:t>
      </w:r>
      <w:proofErr w:type="spellEnd"/>
      <w:r w:rsidR="001966D9">
        <w:rPr>
          <w:rFonts w:ascii="Times New Roman" w:hAnsi="Times New Roman" w:cs="Times New Roman"/>
          <w:sz w:val="24"/>
          <w:szCs w:val="24"/>
          <w:lang w:val="mk-MK"/>
        </w:rPr>
        <w:t xml:space="preserve">  конкуренција</w:t>
      </w:r>
      <w:r w:rsidR="00CA0E9E">
        <w:rPr>
          <w:rStyle w:val="FootnoteReference"/>
          <w:rFonts w:ascii="Times New Roman" w:hAnsi="Times New Roman" w:cs="Times New Roman"/>
          <w:sz w:val="24"/>
          <w:szCs w:val="24"/>
          <w:lang w:val="mk-MK"/>
        </w:rPr>
        <w:footnoteReference w:id="3"/>
      </w:r>
      <w:r w:rsidR="001966D9">
        <w:rPr>
          <w:rFonts w:ascii="Times New Roman" w:hAnsi="Times New Roman" w:cs="Times New Roman"/>
          <w:sz w:val="24"/>
          <w:szCs w:val="24"/>
          <w:lang w:val="mk-MK"/>
        </w:rPr>
        <w:t>.</w:t>
      </w:r>
      <w:r w:rsidR="00CA0E9E">
        <w:rPr>
          <w:rFonts w:ascii="Times New Roman" w:hAnsi="Times New Roman" w:cs="Times New Roman"/>
          <w:sz w:val="24"/>
          <w:szCs w:val="24"/>
          <w:lang w:val="mk-MK"/>
        </w:rPr>
        <w:t xml:space="preserve"> </w:t>
      </w:r>
    </w:p>
    <w:p w:rsidR="0083595A" w:rsidRDefault="0083595A" w:rsidP="00937340">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Една од задачите на КЗК е јавната промоција на политиката за заштита на конкуренцијата, давање мислења и коментари на прашања поврзани со заштитата и промоцијата на пазарната конкуренција и придобивките од истите. Во овој сегмент, исто така, КЗК покажува слаби резултати. </w:t>
      </w:r>
      <w:r w:rsidR="00F62C5E">
        <w:rPr>
          <w:rFonts w:ascii="Times New Roman" w:hAnsi="Times New Roman" w:cs="Times New Roman"/>
          <w:sz w:val="24"/>
          <w:szCs w:val="24"/>
          <w:lang w:val="mk-MK"/>
        </w:rPr>
        <w:t xml:space="preserve">Бројот на мислењата е најчесто е поврзан со примена на одредени законски решенија, додека активностите за промоција на ‘културата за заштита и поттикнување на пазарната </w:t>
      </w:r>
      <w:proofErr w:type="spellStart"/>
      <w:r w:rsidR="00F62C5E">
        <w:rPr>
          <w:rFonts w:ascii="Times New Roman" w:hAnsi="Times New Roman" w:cs="Times New Roman"/>
          <w:sz w:val="24"/>
          <w:szCs w:val="24"/>
          <w:lang w:val="mk-MK"/>
        </w:rPr>
        <w:t>конкуреницја</w:t>
      </w:r>
      <w:proofErr w:type="spellEnd"/>
      <w:r w:rsidR="00F62C5E">
        <w:rPr>
          <w:rFonts w:ascii="Times New Roman" w:hAnsi="Times New Roman" w:cs="Times New Roman"/>
          <w:sz w:val="24"/>
          <w:szCs w:val="24"/>
          <w:lang w:val="mk-MK"/>
        </w:rPr>
        <w:t>’ воопшто не постојат.</w:t>
      </w:r>
      <w:r w:rsidR="00B902A8">
        <w:rPr>
          <w:rFonts w:ascii="Times New Roman" w:hAnsi="Times New Roman" w:cs="Times New Roman"/>
          <w:sz w:val="24"/>
          <w:szCs w:val="24"/>
          <w:lang w:val="mk-MK"/>
        </w:rPr>
        <w:t xml:space="preserve"> </w:t>
      </w:r>
    </w:p>
    <w:p w:rsidR="00422C6F" w:rsidRPr="00D869C4" w:rsidRDefault="009B77C9" w:rsidP="00937340">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83560E" w:rsidRDefault="008840AE">
      <w:pPr>
        <w:rPr>
          <w:rFonts w:ascii="Times New Roman" w:hAnsi="Times New Roman" w:cs="Times New Roman"/>
          <w:b/>
          <w:sz w:val="24"/>
          <w:szCs w:val="24"/>
          <w:lang w:val="mk-MK"/>
        </w:rPr>
      </w:pPr>
      <w:r w:rsidRPr="00B654F2">
        <w:rPr>
          <w:rFonts w:ascii="Times New Roman" w:hAnsi="Times New Roman" w:cs="Times New Roman"/>
          <w:b/>
          <w:sz w:val="24"/>
          <w:szCs w:val="24"/>
          <w:lang w:val="mk-MK"/>
        </w:rPr>
        <w:t xml:space="preserve">3. </w:t>
      </w:r>
      <w:r w:rsidR="00073499" w:rsidRPr="00B654F2">
        <w:rPr>
          <w:rFonts w:ascii="Times New Roman" w:hAnsi="Times New Roman" w:cs="Times New Roman"/>
          <w:b/>
          <w:sz w:val="24"/>
          <w:szCs w:val="24"/>
          <w:lang w:val="mk-MK"/>
        </w:rPr>
        <w:t>Анализа на финансискиот</w:t>
      </w:r>
      <w:r w:rsidR="00A428C4" w:rsidRPr="00B654F2">
        <w:rPr>
          <w:rFonts w:ascii="Times New Roman" w:hAnsi="Times New Roman" w:cs="Times New Roman"/>
          <w:b/>
          <w:sz w:val="24"/>
          <w:szCs w:val="24"/>
          <w:lang w:val="mk-MK"/>
        </w:rPr>
        <w:t xml:space="preserve"> и административен ка</w:t>
      </w:r>
      <w:r w:rsidR="00073499" w:rsidRPr="00B654F2">
        <w:rPr>
          <w:rFonts w:ascii="Times New Roman" w:hAnsi="Times New Roman" w:cs="Times New Roman"/>
          <w:b/>
          <w:sz w:val="24"/>
          <w:szCs w:val="24"/>
          <w:lang w:val="mk-MK"/>
        </w:rPr>
        <w:t xml:space="preserve">пацитет </w:t>
      </w:r>
      <w:r w:rsidR="00817F37" w:rsidRPr="00B654F2">
        <w:rPr>
          <w:rFonts w:ascii="Times New Roman" w:hAnsi="Times New Roman" w:cs="Times New Roman"/>
          <w:b/>
          <w:sz w:val="24"/>
          <w:szCs w:val="24"/>
          <w:lang w:val="mk-MK"/>
        </w:rPr>
        <w:t>Комисијата</w:t>
      </w:r>
      <w:r w:rsidR="00FA5998" w:rsidRPr="00B654F2">
        <w:rPr>
          <w:rFonts w:ascii="Times New Roman" w:hAnsi="Times New Roman" w:cs="Times New Roman"/>
          <w:b/>
          <w:sz w:val="24"/>
          <w:szCs w:val="24"/>
          <w:lang w:val="mk-MK"/>
        </w:rPr>
        <w:t xml:space="preserve"> за заштита на конкуренцијата</w:t>
      </w:r>
    </w:p>
    <w:p w:rsidR="00BE753C" w:rsidRPr="00B654F2" w:rsidRDefault="00BE753C">
      <w:pPr>
        <w:rPr>
          <w:rFonts w:ascii="Times New Roman" w:hAnsi="Times New Roman" w:cs="Times New Roman"/>
          <w:b/>
          <w:sz w:val="24"/>
          <w:szCs w:val="24"/>
          <w:lang w:val="mk-MK"/>
        </w:rPr>
      </w:pPr>
    </w:p>
    <w:p w:rsidR="0000068C" w:rsidRPr="00B654F2" w:rsidRDefault="00FA5998" w:rsidP="00FA5998">
      <w:pPr>
        <w:spacing w:after="0" w:line="276" w:lineRule="auto"/>
        <w:jc w:val="both"/>
        <w:rPr>
          <w:rFonts w:ascii="Times New Roman" w:hAnsi="Times New Roman" w:cs="Times New Roman"/>
          <w:sz w:val="24"/>
          <w:szCs w:val="24"/>
          <w:lang w:val="mk-MK"/>
        </w:rPr>
      </w:pPr>
      <w:r w:rsidRPr="00B654F2">
        <w:rPr>
          <w:rFonts w:ascii="Times New Roman" w:hAnsi="Times New Roman" w:cs="Times New Roman"/>
          <w:sz w:val="24"/>
          <w:szCs w:val="24"/>
          <w:lang w:val="mk-MK"/>
        </w:rPr>
        <w:t>Главен финансиски извор за функционирањето на КЗК претставуваат средствата од централниот буџет на Владата. Во текот анализираниот период, делот од буџетските средства наменет за финансирање на КЗК, во просек годишно изнесува скромни 0,013% од вкупните буџетски расходи.</w:t>
      </w:r>
    </w:p>
    <w:p w:rsidR="00FA5998" w:rsidRPr="00B654F2" w:rsidRDefault="00FA5998">
      <w:pPr>
        <w:rPr>
          <w:rFonts w:ascii="Times New Roman" w:hAnsi="Times New Roman" w:cs="Times New Roman"/>
          <w:sz w:val="24"/>
          <w:szCs w:val="24"/>
          <w:lang w:val="mk-MK"/>
        </w:rPr>
      </w:pPr>
    </w:p>
    <w:p w:rsidR="00872DC9" w:rsidRPr="00577254" w:rsidRDefault="00586A57" w:rsidP="00FA5998">
      <w:pPr>
        <w:jc w:val="center"/>
        <w:rPr>
          <w:rFonts w:ascii="Times New Roman" w:hAnsi="Times New Roman" w:cs="Times New Roman"/>
          <w:b/>
          <w:sz w:val="24"/>
          <w:szCs w:val="24"/>
          <w:lang w:val="mk-MK"/>
        </w:rPr>
      </w:pPr>
      <w:r w:rsidRPr="00577254">
        <w:rPr>
          <w:rFonts w:ascii="Times New Roman" w:hAnsi="Times New Roman" w:cs="Times New Roman"/>
          <w:b/>
          <w:sz w:val="24"/>
          <w:szCs w:val="24"/>
          <w:lang w:val="mk-MK"/>
        </w:rPr>
        <w:t>График</w:t>
      </w:r>
      <w:r w:rsidR="00577254" w:rsidRPr="00577254">
        <w:rPr>
          <w:rFonts w:ascii="Times New Roman" w:hAnsi="Times New Roman" w:cs="Times New Roman"/>
          <w:b/>
          <w:sz w:val="24"/>
          <w:szCs w:val="24"/>
          <w:lang w:val="mk-MK"/>
        </w:rPr>
        <w:t>он 2:</w:t>
      </w:r>
      <w:r w:rsidRPr="00577254">
        <w:rPr>
          <w:rFonts w:ascii="Times New Roman" w:hAnsi="Times New Roman" w:cs="Times New Roman"/>
          <w:b/>
          <w:sz w:val="24"/>
          <w:szCs w:val="24"/>
          <w:lang w:val="mk-MK"/>
        </w:rPr>
        <w:t xml:space="preserve"> Движење на </w:t>
      </w:r>
      <w:r w:rsidR="00FA5998" w:rsidRPr="00577254">
        <w:rPr>
          <w:rFonts w:ascii="Times New Roman" w:hAnsi="Times New Roman" w:cs="Times New Roman"/>
          <w:b/>
          <w:sz w:val="24"/>
          <w:szCs w:val="24"/>
          <w:lang w:val="mk-MK"/>
        </w:rPr>
        <w:t>средствата на буџетот з</w:t>
      </w:r>
      <w:r w:rsidRPr="00577254">
        <w:rPr>
          <w:rFonts w:ascii="Times New Roman" w:hAnsi="Times New Roman" w:cs="Times New Roman"/>
          <w:b/>
          <w:sz w:val="24"/>
          <w:szCs w:val="24"/>
          <w:lang w:val="mk-MK"/>
        </w:rPr>
        <w:t>а КЗК во периодот 2010-2018</w:t>
      </w:r>
      <w:r w:rsidR="00FA5998" w:rsidRPr="00577254">
        <w:rPr>
          <w:rFonts w:ascii="Times New Roman" w:hAnsi="Times New Roman" w:cs="Times New Roman"/>
          <w:b/>
          <w:sz w:val="24"/>
          <w:szCs w:val="24"/>
          <w:lang w:val="mk-MK"/>
        </w:rPr>
        <w:t xml:space="preserve"> </w:t>
      </w:r>
      <w:r w:rsidRPr="00577254">
        <w:rPr>
          <w:rFonts w:ascii="Times New Roman" w:hAnsi="Times New Roman" w:cs="Times New Roman"/>
          <w:b/>
          <w:sz w:val="24"/>
          <w:szCs w:val="24"/>
          <w:lang w:val="mk-MK"/>
        </w:rPr>
        <w:t>година</w:t>
      </w:r>
      <w:r w:rsidR="00FA5998" w:rsidRPr="00577254">
        <w:rPr>
          <w:rFonts w:ascii="Times New Roman" w:hAnsi="Times New Roman" w:cs="Times New Roman"/>
          <w:b/>
          <w:sz w:val="24"/>
          <w:szCs w:val="24"/>
          <w:lang w:val="mk-MK"/>
        </w:rPr>
        <w:t xml:space="preserve"> (во 000 денари)</w:t>
      </w:r>
    </w:p>
    <w:p w:rsidR="00586A57" w:rsidRPr="00B654F2" w:rsidRDefault="00586A57" w:rsidP="00FA5998">
      <w:pPr>
        <w:jc w:val="center"/>
        <w:rPr>
          <w:rFonts w:ascii="Times New Roman" w:hAnsi="Times New Roman" w:cs="Times New Roman"/>
          <w:b/>
          <w:sz w:val="24"/>
          <w:szCs w:val="24"/>
          <w:lang w:val="mk-MK"/>
        </w:rPr>
      </w:pPr>
      <w:r w:rsidRPr="00B654F2">
        <w:rPr>
          <w:rFonts w:ascii="Times New Roman" w:hAnsi="Times New Roman" w:cs="Times New Roman"/>
          <w:b/>
          <w:noProof/>
          <w:sz w:val="24"/>
          <w:szCs w:val="24"/>
        </w:rPr>
        <w:lastRenderedPageBreak/>
        <w:drawing>
          <wp:inline distT="0" distB="0" distL="0" distR="0" wp14:anchorId="19A80273">
            <wp:extent cx="4804913" cy="247370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8624" cy="2475614"/>
                    </a:xfrm>
                    <a:prstGeom prst="rect">
                      <a:avLst/>
                    </a:prstGeom>
                    <a:noFill/>
                  </pic:spPr>
                </pic:pic>
              </a:graphicData>
            </a:graphic>
          </wp:inline>
        </w:drawing>
      </w:r>
    </w:p>
    <w:p w:rsidR="00A9452F" w:rsidRPr="00B654F2" w:rsidRDefault="00A9452F" w:rsidP="00FA5998">
      <w:pPr>
        <w:spacing w:after="0" w:line="240" w:lineRule="auto"/>
        <w:ind w:firstLine="720"/>
        <w:rPr>
          <w:rFonts w:ascii="Times New Roman" w:hAnsi="Times New Roman" w:cs="Times New Roman"/>
          <w:sz w:val="20"/>
          <w:szCs w:val="20"/>
          <w:lang w:val="mk-MK"/>
        </w:rPr>
      </w:pPr>
      <w:r w:rsidRPr="00B654F2">
        <w:rPr>
          <w:rFonts w:ascii="Times New Roman" w:hAnsi="Times New Roman" w:cs="Times New Roman"/>
          <w:sz w:val="20"/>
          <w:szCs w:val="20"/>
          <w:lang w:val="mk-MK"/>
        </w:rPr>
        <w:t>Извор: Финансиски извештаи од КЗК</w:t>
      </w:r>
    </w:p>
    <w:p w:rsidR="00C1700B" w:rsidRPr="00B654F2" w:rsidRDefault="00C1700B">
      <w:pPr>
        <w:rPr>
          <w:rFonts w:ascii="Times New Roman" w:hAnsi="Times New Roman" w:cs="Times New Roman"/>
          <w:sz w:val="24"/>
          <w:szCs w:val="24"/>
          <w:lang w:val="mk-MK"/>
        </w:rPr>
      </w:pPr>
    </w:p>
    <w:p w:rsidR="00872DC9" w:rsidRPr="00B654F2" w:rsidRDefault="00C1700B" w:rsidP="00C1700B">
      <w:pPr>
        <w:jc w:val="both"/>
        <w:rPr>
          <w:rFonts w:ascii="Times New Roman" w:hAnsi="Times New Roman" w:cs="Times New Roman"/>
          <w:sz w:val="24"/>
          <w:szCs w:val="24"/>
          <w:lang w:val="mk-MK"/>
        </w:rPr>
      </w:pPr>
      <w:r w:rsidRPr="00B654F2">
        <w:rPr>
          <w:rFonts w:ascii="Times New Roman" w:hAnsi="Times New Roman" w:cs="Times New Roman"/>
          <w:sz w:val="24"/>
          <w:szCs w:val="24"/>
          <w:lang w:val="mk-MK"/>
        </w:rPr>
        <w:t xml:space="preserve">Во основа ова се скромни финансиски ресурси за користење, во однос на теоретските очекувани цели кои оваа институција треба да ги исполни во напорите на </w:t>
      </w:r>
      <w:proofErr w:type="spellStart"/>
      <w:r w:rsidRPr="00B654F2">
        <w:rPr>
          <w:rFonts w:ascii="Times New Roman" w:hAnsi="Times New Roman" w:cs="Times New Roman"/>
          <w:sz w:val="24"/>
          <w:szCs w:val="24"/>
          <w:lang w:val="mk-MK"/>
        </w:rPr>
        <w:t>сузбивање</w:t>
      </w:r>
      <w:proofErr w:type="spellEnd"/>
      <w:r w:rsidRPr="00B654F2">
        <w:rPr>
          <w:rFonts w:ascii="Times New Roman" w:hAnsi="Times New Roman" w:cs="Times New Roman"/>
          <w:sz w:val="24"/>
          <w:szCs w:val="24"/>
          <w:lang w:val="mk-MK"/>
        </w:rPr>
        <w:t xml:space="preserve"> на монополското однесување на фирмите на пазарот, јакнење на пазарната конкуренција, подобрување на </w:t>
      </w:r>
      <w:proofErr w:type="spellStart"/>
      <w:r w:rsidRPr="00B654F2">
        <w:rPr>
          <w:rFonts w:ascii="Times New Roman" w:hAnsi="Times New Roman" w:cs="Times New Roman"/>
          <w:sz w:val="24"/>
          <w:szCs w:val="24"/>
          <w:lang w:val="mk-MK"/>
        </w:rPr>
        <w:t>алокативната</w:t>
      </w:r>
      <w:proofErr w:type="spellEnd"/>
      <w:r w:rsidRPr="00B654F2">
        <w:rPr>
          <w:rFonts w:ascii="Times New Roman" w:hAnsi="Times New Roman" w:cs="Times New Roman"/>
          <w:sz w:val="24"/>
          <w:szCs w:val="24"/>
          <w:lang w:val="mk-MK"/>
        </w:rPr>
        <w:t xml:space="preserve"> ефикасност и динамичката ефикасност на домашната економија. Слабата финансиска моќ на КЗК директно го подрива нејзиниот институционален кредибилитет, а од друга страна скромните финансиски ресурси имплицитно го одразуваат и слабиот интерес на владата и политичката волја во земјата за заземање на пожесток курс во борбата за подобрување и заштитата на пазарната конкуренција во земјата.</w:t>
      </w:r>
      <w:r w:rsidR="00BE753C">
        <w:rPr>
          <w:rFonts w:ascii="Times New Roman" w:hAnsi="Times New Roman" w:cs="Times New Roman"/>
          <w:sz w:val="24"/>
          <w:szCs w:val="24"/>
          <w:lang w:val="mk-MK"/>
        </w:rPr>
        <w:t xml:space="preserve"> </w:t>
      </w:r>
    </w:p>
    <w:p w:rsidR="00A9452F" w:rsidRPr="00BE753C" w:rsidRDefault="00A9452F" w:rsidP="00A9452F">
      <w:pPr>
        <w:spacing w:after="0" w:line="240" w:lineRule="auto"/>
        <w:jc w:val="center"/>
        <w:rPr>
          <w:rFonts w:ascii="Times New Roman" w:hAnsi="Times New Roman" w:cs="Times New Roman"/>
          <w:b/>
          <w:sz w:val="24"/>
          <w:szCs w:val="24"/>
          <w:lang w:val="mk-MK"/>
        </w:rPr>
      </w:pPr>
      <w:r w:rsidRPr="00BE753C">
        <w:rPr>
          <w:rFonts w:ascii="Times New Roman" w:hAnsi="Times New Roman" w:cs="Times New Roman"/>
          <w:b/>
          <w:sz w:val="24"/>
          <w:szCs w:val="24"/>
          <w:lang w:val="mk-MK"/>
        </w:rPr>
        <w:t>Табела</w:t>
      </w:r>
      <w:r w:rsidR="00BE753C" w:rsidRPr="00BE753C">
        <w:rPr>
          <w:rFonts w:ascii="Times New Roman" w:hAnsi="Times New Roman" w:cs="Times New Roman"/>
          <w:b/>
          <w:sz w:val="24"/>
          <w:szCs w:val="24"/>
          <w:lang w:val="mk-MK"/>
        </w:rPr>
        <w:t xml:space="preserve"> 2:</w:t>
      </w:r>
      <w:r w:rsidRPr="00BE753C">
        <w:rPr>
          <w:rFonts w:ascii="Times New Roman" w:hAnsi="Times New Roman" w:cs="Times New Roman"/>
          <w:b/>
          <w:sz w:val="24"/>
          <w:szCs w:val="24"/>
          <w:lang w:val="mk-MK"/>
        </w:rPr>
        <w:t xml:space="preserve"> Отстапувања помеѓу планираните и одобрените буџетски средства на КЗК</w:t>
      </w:r>
    </w:p>
    <w:p w:rsidR="00A9452F" w:rsidRPr="00BE753C" w:rsidRDefault="00A9452F" w:rsidP="00A9452F">
      <w:pPr>
        <w:spacing w:after="0" w:line="240" w:lineRule="auto"/>
        <w:jc w:val="center"/>
        <w:rPr>
          <w:rFonts w:ascii="Times New Roman" w:hAnsi="Times New Roman" w:cs="Times New Roman"/>
          <w:b/>
          <w:sz w:val="24"/>
          <w:szCs w:val="24"/>
          <w:lang w:val="mk-MK"/>
        </w:rPr>
      </w:pPr>
      <w:r w:rsidRPr="00BE753C">
        <w:rPr>
          <w:rFonts w:ascii="Times New Roman" w:hAnsi="Times New Roman" w:cs="Times New Roman"/>
          <w:b/>
          <w:sz w:val="24"/>
          <w:szCs w:val="24"/>
          <w:lang w:val="mk-MK"/>
        </w:rPr>
        <w:t>Во периодот 2010-2018, во 000 денари.</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66"/>
        <w:gridCol w:w="766"/>
        <w:gridCol w:w="977"/>
        <w:gridCol w:w="766"/>
        <w:gridCol w:w="985"/>
        <w:gridCol w:w="851"/>
        <w:gridCol w:w="850"/>
        <w:gridCol w:w="851"/>
        <w:gridCol w:w="858"/>
      </w:tblGrid>
      <w:tr w:rsidR="00A9452F" w:rsidRPr="00B654F2" w:rsidTr="00A9452F">
        <w:trPr>
          <w:trHeight w:val="300"/>
        </w:trPr>
        <w:tc>
          <w:tcPr>
            <w:tcW w:w="1555" w:type="dxa"/>
            <w:shd w:val="clear" w:color="auto" w:fill="auto"/>
            <w:noWrap/>
            <w:vAlign w:val="bottom"/>
            <w:hideMark/>
          </w:tcPr>
          <w:p w:rsidR="00A9452F" w:rsidRPr="00A9452F" w:rsidRDefault="00A9452F" w:rsidP="00A9452F">
            <w:pPr>
              <w:spacing w:after="0" w:line="240" w:lineRule="auto"/>
              <w:rPr>
                <w:rFonts w:ascii="Times New Roman" w:eastAsia="Times New Roman" w:hAnsi="Times New Roman" w:cs="Times New Roman"/>
                <w:b/>
                <w:color w:val="000000"/>
                <w:sz w:val="20"/>
                <w:szCs w:val="20"/>
              </w:rPr>
            </w:pPr>
            <w:proofErr w:type="spellStart"/>
            <w:r w:rsidRPr="00A9452F">
              <w:rPr>
                <w:rFonts w:ascii="Times New Roman" w:eastAsia="Times New Roman" w:hAnsi="Times New Roman" w:cs="Times New Roman"/>
                <w:b/>
                <w:color w:val="000000"/>
                <w:sz w:val="20"/>
                <w:szCs w:val="20"/>
              </w:rPr>
              <w:t>Буџет</w:t>
            </w:r>
            <w:proofErr w:type="spellEnd"/>
            <w:r w:rsidRPr="00A9452F">
              <w:rPr>
                <w:rFonts w:ascii="Times New Roman" w:eastAsia="Times New Roman" w:hAnsi="Times New Roman" w:cs="Times New Roman"/>
                <w:b/>
                <w:color w:val="000000"/>
                <w:sz w:val="20"/>
                <w:szCs w:val="20"/>
              </w:rPr>
              <w:t xml:space="preserve"> </w:t>
            </w:r>
            <w:proofErr w:type="spellStart"/>
            <w:r w:rsidRPr="00A9452F">
              <w:rPr>
                <w:rFonts w:ascii="Times New Roman" w:eastAsia="Times New Roman" w:hAnsi="Times New Roman" w:cs="Times New Roman"/>
                <w:b/>
                <w:color w:val="000000"/>
                <w:sz w:val="20"/>
                <w:szCs w:val="20"/>
              </w:rPr>
              <w:t>на</w:t>
            </w:r>
            <w:proofErr w:type="spellEnd"/>
            <w:r w:rsidRPr="00A9452F">
              <w:rPr>
                <w:rFonts w:ascii="Times New Roman" w:eastAsia="Times New Roman" w:hAnsi="Times New Roman" w:cs="Times New Roman"/>
                <w:b/>
                <w:color w:val="000000"/>
                <w:sz w:val="20"/>
                <w:szCs w:val="20"/>
              </w:rPr>
              <w:t xml:space="preserve"> КЗК</w:t>
            </w:r>
          </w:p>
        </w:tc>
        <w:tc>
          <w:tcPr>
            <w:tcW w:w="716" w:type="dxa"/>
            <w:shd w:val="clear" w:color="auto" w:fill="BFBFBF" w:themeFill="background1" w:themeFillShade="BF"/>
            <w:noWrap/>
            <w:vAlign w:val="bottom"/>
            <w:hideMark/>
          </w:tcPr>
          <w:p w:rsidR="00A9452F" w:rsidRPr="00A9452F" w:rsidRDefault="00A9452F" w:rsidP="00A9452F">
            <w:pPr>
              <w:spacing w:after="0" w:line="240" w:lineRule="auto"/>
              <w:jc w:val="right"/>
              <w:rPr>
                <w:rFonts w:ascii="Times New Roman" w:eastAsia="Times New Roman" w:hAnsi="Times New Roman" w:cs="Times New Roman"/>
                <w:b/>
                <w:color w:val="000000"/>
                <w:sz w:val="20"/>
                <w:szCs w:val="20"/>
              </w:rPr>
            </w:pPr>
            <w:r w:rsidRPr="00A9452F">
              <w:rPr>
                <w:rFonts w:ascii="Times New Roman" w:eastAsia="Times New Roman" w:hAnsi="Times New Roman" w:cs="Times New Roman"/>
                <w:b/>
                <w:color w:val="000000"/>
                <w:sz w:val="20"/>
                <w:szCs w:val="20"/>
              </w:rPr>
              <w:t>2010</w:t>
            </w:r>
          </w:p>
        </w:tc>
        <w:tc>
          <w:tcPr>
            <w:tcW w:w="716" w:type="dxa"/>
            <w:shd w:val="clear" w:color="auto" w:fill="BFBFBF" w:themeFill="background1" w:themeFillShade="BF"/>
            <w:noWrap/>
            <w:vAlign w:val="bottom"/>
            <w:hideMark/>
          </w:tcPr>
          <w:p w:rsidR="00A9452F" w:rsidRPr="00A9452F" w:rsidRDefault="00A9452F" w:rsidP="00A9452F">
            <w:pPr>
              <w:spacing w:after="0" w:line="240" w:lineRule="auto"/>
              <w:jc w:val="right"/>
              <w:rPr>
                <w:rFonts w:ascii="Times New Roman" w:eastAsia="Times New Roman" w:hAnsi="Times New Roman" w:cs="Times New Roman"/>
                <w:b/>
                <w:color w:val="000000"/>
                <w:sz w:val="20"/>
                <w:szCs w:val="20"/>
              </w:rPr>
            </w:pPr>
            <w:r w:rsidRPr="00A9452F">
              <w:rPr>
                <w:rFonts w:ascii="Times New Roman" w:eastAsia="Times New Roman" w:hAnsi="Times New Roman" w:cs="Times New Roman"/>
                <w:b/>
                <w:color w:val="000000"/>
                <w:sz w:val="20"/>
                <w:szCs w:val="20"/>
              </w:rPr>
              <w:t>2011</w:t>
            </w:r>
          </w:p>
        </w:tc>
        <w:tc>
          <w:tcPr>
            <w:tcW w:w="977" w:type="dxa"/>
            <w:shd w:val="clear" w:color="auto" w:fill="BFBFBF" w:themeFill="background1" w:themeFillShade="BF"/>
            <w:noWrap/>
            <w:vAlign w:val="bottom"/>
            <w:hideMark/>
          </w:tcPr>
          <w:p w:rsidR="00A9452F" w:rsidRPr="00A9452F" w:rsidRDefault="00A9452F" w:rsidP="00A9452F">
            <w:pPr>
              <w:spacing w:after="0" w:line="240" w:lineRule="auto"/>
              <w:jc w:val="right"/>
              <w:rPr>
                <w:rFonts w:ascii="Times New Roman" w:eastAsia="Times New Roman" w:hAnsi="Times New Roman" w:cs="Times New Roman"/>
                <w:b/>
                <w:color w:val="000000"/>
                <w:sz w:val="20"/>
                <w:szCs w:val="20"/>
              </w:rPr>
            </w:pPr>
            <w:r w:rsidRPr="00A9452F">
              <w:rPr>
                <w:rFonts w:ascii="Times New Roman" w:eastAsia="Times New Roman" w:hAnsi="Times New Roman" w:cs="Times New Roman"/>
                <w:b/>
                <w:color w:val="000000"/>
                <w:sz w:val="20"/>
                <w:szCs w:val="20"/>
              </w:rPr>
              <w:t>2012</w:t>
            </w:r>
          </w:p>
        </w:tc>
        <w:tc>
          <w:tcPr>
            <w:tcW w:w="716" w:type="dxa"/>
            <w:shd w:val="clear" w:color="auto" w:fill="BFBFBF" w:themeFill="background1" w:themeFillShade="BF"/>
            <w:noWrap/>
            <w:vAlign w:val="bottom"/>
            <w:hideMark/>
          </w:tcPr>
          <w:p w:rsidR="00A9452F" w:rsidRPr="00A9452F" w:rsidRDefault="00A9452F" w:rsidP="00A9452F">
            <w:pPr>
              <w:spacing w:after="0" w:line="240" w:lineRule="auto"/>
              <w:jc w:val="right"/>
              <w:rPr>
                <w:rFonts w:ascii="Times New Roman" w:eastAsia="Times New Roman" w:hAnsi="Times New Roman" w:cs="Times New Roman"/>
                <w:b/>
                <w:color w:val="000000"/>
                <w:sz w:val="20"/>
                <w:szCs w:val="20"/>
              </w:rPr>
            </w:pPr>
            <w:r w:rsidRPr="00A9452F">
              <w:rPr>
                <w:rFonts w:ascii="Times New Roman" w:eastAsia="Times New Roman" w:hAnsi="Times New Roman" w:cs="Times New Roman"/>
                <w:b/>
                <w:color w:val="000000"/>
                <w:sz w:val="20"/>
                <w:szCs w:val="20"/>
              </w:rPr>
              <w:t>2013</w:t>
            </w:r>
          </w:p>
        </w:tc>
        <w:tc>
          <w:tcPr>
            <w:tcW w:w="985" w:type="dxa"/>
            <w:shd w:val="clear" w:color="auto" w:fill="BFBFBF" w:themeFill="background1" w:themeFillShade="BF"/>
            <w:noWrap/>
            <w:vAlign w:val="bottom"/>
            <w:hideMark/>
          </w:tcPr>
          <w:p w:rsidR="00A9452F" w:rsidRPr="00A9452F" w:rsidRDefault="00A9452F" w:rsidP="00A9452F">
            <w:pPr>
              <w:spacing w:after="0" w:line="240" w:lineRule="auto"/>
              <w:jc w:val="right"/>
              <w:rPr>
                <w:rFonts w:ascii="Times New Roman" w:eastAsia="Times New Roman" w:hAnsi="Times New Roman" w:cs="Times New Roman"/>
                <w:b/>
                <w:color w:val="000000"/>
                <w:sz w:val="20"/>
                <w:szCs w:val="20"/>
              </w:rPr>
            </w:pPr>
            <w:r w:rsidRPr="00A9452F">
              <w:rPr>
                <w:rFonts w:ascii="Times New Roman" w:eastAsia="Times New Roman" w:hAnsi="Times New Roman" w:cs="Times New Roman"/>
                <w:b/>
                <w:color w:val="000000"/>
                <w:sz w:val="20"/>
                <w:szCs w:val="20"/>
              </w:rPr>
              <w:t>2014</w:t>
            </w:r>
          </w:p>
        </w:tc>
        <w:tc>
          <w:tcPr>
            <w:tcW w:w="851" w:type="dxa"/>
            <w:shd w:val="clear" w:color="auto" w:fill="BFBFBF" w:themeFill="background1" w:themeFillShade="BF"/>
            <w:noWrap/>
            <w:vAlign w:val="bottom"/>
            <w:hideMark/>
          </w:tcPr>
          <w:p w:rsidR="00A9452F" w:rsidRPr="00A9452F" w:rsidRDefault="00A9452F" w:rsidP="00A9452F">
            <w:pPr>
              <w:spacing w:after="0" w:line="240" w:lineRule="auto"/>
              <w:jc w:val="right"/>
              <w:rPr>
                <w:rFonts w:ascii="Times New Roman" w:eastAsia="Times New Roman" w:hAnsi="Times New Roman" w:cs="Times New Roman"/>
                <w:b/>
                <w:color w:val="000000"/>
                <w:sz w:val="20"/>
                <w:szCs w:val="20"/>
              </w:rPr>
            </w:pPr>
            <w:r w:rsidRPr="00A9452F">
              <w:rPr>
                <w:rFonts w:ascii="Times New Roman" w:eastAsia="Times New Roman" w:hAnsi="Times New Roman" w:cs="Times New Roman"/>
                <w:b/>
                <w:color w:val="000000"/>
                <w:sz w:val="20"/>
                <w:szCs w:val="20"/>
              </w:rPr>
              <w:t>2015</w:t>
            </w:r>
          </w:p>
        </w:tc>
        <w:tc>
          <w:tcPr>
            <w:tcW w:w="850" w:type="dxa"/>
            <w:shd w:val="clear" w:color="auto" w:fill="BFBFBF" w:themeFill="background1" w:themeFillShade="BF"/>
            <w:noWrap/>
            <w:vAlign w:val="bottom"/>
            <w:hideMark/>
          </w:tcPr>
          <w:p w:rsidR="00A9452F" w:rsidRPr="00A9452F" w:rsidRDefault="00A9452F" w:rsidP="00A9452F">
            <w:pPr>
              <w:spacing w:after="0" w:line="240" w:lineRule="auto"/>
              <w:jc w:val="right"/>
              <w:rPr>
                <w:rFonts w:ascii="Times New Roman" w:eastAsia="Times New Roman" w:hAnsi="Times New Roman" w:cs="Times New Roman"/>
                <w:b/>
                <w:color w:val="000000"/>
                <w:sz w:val="20"/>
                <w:szCs w:val="20"/>
              </w:rPr>
            </w:pPr>
            <w:r w:rsidRPr="00A9452F">
              <w:rPr>
                <w:rFonts w:ascii="Times New Roman" w:eastAsia="Times New Roman" w:hAnsi="Times New Roman" w:cs="Times New Roman"/>
                <w:b/>
                <w:color w:val="000000"/>
                <w:sz w:val="20"/>
                <w:szCs w:val="20"/>
              </w:rPr>
              <w:t>2016</w:t>
            </w:r>
          </w:p>
        </w:tc>
        <w:tc>
          <w:tcPr>
            <w:tcW w:w="851" w:type="dxa"/>
            <w:shd w:val="clear" w:color="auto" w:fill="BFBFBF" w:themeFill="background1" w:themeFillShade="BF"/>
            <w:noWrap/>
            <w:vAlign w:val="bottom"/>
            <w:hideMark/>
          </w:tcPr>
          <w:p w:rsidR="00A9452F" w:rsidRPr="00A9452F" w:rsidRDefault="00A9452F" w:rsidP="00A9452F">
            <w:pPr>
              <w:spacing w:after="0" w:line="240" w:lineRule="auto"/>
              <w:jc w:val="right"/>
              <w:rPr>
                <w:rFonts w:ascii="Times New Roman" w:eastAsia="Times New Roman" w:hAnsi="Times New Roman" w:cs="Times New Roman"/>
                <w:b/>
                <w:color w:val="000000"/>
                <w:sz w:val="20"/>
                <w:szCs w:val="20"/>
              </w:rPr>
            </w:pPr>
            <w:r w:rsidRPr="00A9452F">
              <w:rPr>
                <w:rFonts w:ascii="Times New Roman" w:eastAsia="Times New Roman" w:hAnsi="Times New Roman" w:cs="Times New Roman"/>
                <w:b/>
                <w:color w:val="000000"/>
                <w:sz w:val="20"/>
                <w:szCs w:val="20"/>
              </w:rPr>
              <w:t>2017</w:t>
            </w:r>
          </w:p>
        </w:tc>
        <w:tc>
          <w:tcPr>
            <w:tcW w:w="858" w:type="dxa"/>
            <w:shd w:val="clear" w:color="auto" w:fill="BFBFBF" w:themeFill="background1" w:themeFillShade="BF"/>
            <w:noWrap/>
            <w:vAlign w:val="bottom"/>
            <w:hideMark/>
          </w:tcPr>
          <w:p w:rsidR="00A9452F" w:rsidRPr="00A9452F" w:rsidRDefault="00A9452F" w:rsidP="00A9452F">
            <w:pPr>
              <w:spacing w:after="0" w:line="240" w:lineRule="auto"/>
              <w:jc w:val="right"/>
              <w:rPr>
                <w:rFonts w:ascii="Times New Roman" w:eastAsia="Times New Roman" w:hAnsi="Times New Roman" w:cs="Times New Roman"/>
                <w:b/>
                <w:color w:val="000000"/>
                <w:sz w:val="20"/>
                <w:szCs w:val="20"/>
              </w:rPr>
            </w:pPr>
            <w:r w:rsidRPr="00A9452F">
              <w:rPr>
                <w:rFonts w:ascii="Times New Roman" w:eastAsia="Times New Roman" w:hAnsi="Times New Roman" w:cs="Times New Roman"/>
                <w:b/>
                <w:color w:val="000000"/>
                <w:sz w:val="20"/>
                <w:szCs w:val="20"/>
              </w:rPr>
              <w:t>2018</w:t>
            </w:r>
          </w:p>
        </w:tc>
      </w:tr>
      <w:tr w:rsidR="00A9452F" w:rsidRPr="00B654F2" w:rsidTr="00A9452F">
        <w:trPr>
          <w:trHeight w:val="300"/>
        </w:trPr>
        <w:tc>
          <w:tcPr>
            <w:tcW w:w="1555" w:type="dxa"/>
            <w:shd w:val="clear" w:color="auto" w:fill="auto"/>
            <w:noWrap/>
            <w:vAlign w:val="bottom"/>
            <w:hideMark/>
          </w:tcPr>
          <w:p w:rsidR="00A9452F" w:rsidRPr="00A9452F" w:rsidRDefault="00A9452F" w:rsidP="00A9452F">
            <w:pPr>
              <w:spacing w:after="0" w:line="240" w:lineRule="auto"/>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1.Планиран</w:t>
            </w:r>
          </w:p>
        </w:tc>
        <w:tc>
          <w:tcPr>
            <w:tcW w:w="716" w:type="dxa"/>
            <w:shd w:val="clear" w:color="auto" w:fill="auto"/>
            <w:noWrap/>
            <w:vAlign w:val="bottom"/>
            <w:hideMark/>
          </w:tcPr>
          <w:p w:rsidR="00A9452F" w:rsidRPr="00A9452F" w:rsidRDefault="00A9452F" w:rsidP="00A9452F">
            <w:pPr>
              <w:spacing w:after="0" w:line="240" w:lineRule="auto"/>
              <w:jc w:val="center"/>
              <w:rPr>
                <w:rFonts w:ascii="Times New Roman" w:eastAsia="Times New Roman" w:hAnsi="Times New Roman" w:cs="Times New Roman"/>
                <w:color w:val="000000"/>
                <w:sz w:val="20"/>
                <w:szCs w:val="20"/>
              </w:rPr>
            </w:pPr>
            <w:proofErr w:type="spellStart"/>
            <w:r w:rsidRPr="00A9452F">
              <w:rPr>
                <w:rFonts w:ascii="Times New Roman" w:eastAsia="Times New Roman" w:hAnsi="Times New Roman" w:cs="Times New Roman"/>
                <w:color w:val="000000"/>
                <w:sz w:val="20"/>
                <w:szCs w:val="20"/>
              </w:rPr>
              <w:t>н.п</w:t>
            </w:r>
            <w:proofErr w:type="spellEnd"/>
            <w:r w:rsidRPr="00A9452F">
              <w:rPr>
                <w:rFonts w:ascii="Times New Roman" w:eastAsia="Times New Roman" w:hAnsi="Times New Roman" w:cs="Times New Roman"/>
                <w:color w:val="000000"/>
                <w:sz w:val="20"/>
                <w:szCs w:val="20"/>
              </w:rPr>
              <w:t>.</w:t>
            </w:r>
          </w:p>
        </w:tc>
        <w:tc>
          <w:tcPr>
            <w:tcW w:w="716" w:type="dxa"/>
            <w:shd w:val="clear" w:color="auto" w:fill="auto"/>
            <w:noWrap/>
            <w:vAlign w:val="bottom"/>
            <w:hideMark/>
          </w:tcPr>
          <w:p w:rsidR="00A9452F" w:rsidRPr="00A9452F" w:rsidRDefault="00A9452F" w:rsidP="00A9452F">
            <w:pPr>
              <w:spacing w:after="0" w:line="240" w:lineRule="auto"/>
              <w:jc w:val="center"/>
              <w:rPr>
                <w:rFonts w:ascii="Times New Roman" w:eastAsia="Times New Roman" w:hAnsi="Times New Roman" w:cs="Times New Roman"/>
                <w:color w:val="000000"/>
                <w:sz w:val="20"/>
                <w:szCs w:val="20"/>
              </w:rPr>
            </w:pPr>
            <w:proofErr w:type="spellStart"/>
            <w:r w:rsidRPr="00A9452F">
              <w:rPr>
                <w:rFonts w:ascii="Times New Roman" w:eastAsia="Times New Roman" w:hAnsi="Times New Roman" w:cs="Times New Roman"/>
                <w:color w:val="000000"/>
                <w:sz w:val="20"/>
                <w:szCs w:val="20"/>
              </w:rPr>
              <w:t>н.п</w:t>
            </w:r>
            <w:proofErr w:type="spellEnd"/>
            <w:r w:rsidRPr="00A9452F">
              <w:rPr>
                <w:rFonts w:ascii="Times New Roman" w:eastAsia="Times New Roman" w:hAnsi="Times New Roman" w:cs="Times New Roman"/>
                <w:color w:val="000000"/>
                <w:sz w:val="20"/>
                <w:szCs w:val="20"/>
              </w:rPr>
              <w:t>.</w:t>
            </w:r>
          </w:p>
        </w:tc>
        <w:tc>
          <w:tcPr>
            <w:tcW w:w="977"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17</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650</w:t>
            </w:r>
          </w:p>
        </w:tc>
        <w:tc>
          <w:tcPr>
            <w:tcW w:w="716"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18</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761</w:t>
            </w:r>
          </w:p>
        </w:tc>
        <w:tc>
          <w:tcPr>
            <w:tcW w:w="985"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16</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933</w:t>
            </w:r>
          </w:p>
        </w:tc>
        <w:tc>
          <w:tcPr>
            <w:tcW w:w="851"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20</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869</w:t>
            </w:r>
          </w:p>
        </w:tc>
        <w:tc>
          <w:tcPr>
            <w:tcW w:w="850"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19</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629</w:t>
            </w:r>
          </w:p>
        </w:tc>
        <w:tc>
          <w:tcPr>
            <w:tcW w:w="851"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18</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856</w:t>
            </w:r>
          </w:p>
        </w:tc>
        <w:tc>
          <w:tcPr>
            <w:tcW w:w="858"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20</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800</w:t>
            </w:r>
          </w:p>
        </w:tc>
      </w:tr>
      <w:tr w:rsidR="00A9452F" w:rsidRPr="00B654F2" w:rsidTr="00A9452F">
        <w:trPr>
          <w:trHeight w:val="300"/>
        </w:trPr>
        <w:tc>
          <w:tcPr>
            <w:tcW w:w="1555" w:type="dxa"/>
            <w:shd w:val="clear" w:color="auto" w:fill="auto"/>
            <w:noWrap/>
            <w:vAlign w:val="bottom"/>
            <w:hideMark/>
          </w:tcPr>
          <w:p w:rsidR="00A9452F" w:rsidRPr="00A9452F" w:rsidRDefault="00A9452F" w:rsidP="00A9452F">
            <w:pPr>
              <w:spacing w:after="0" w:line="240" w:lineRule="auto"/>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2.Одобрен</w:t>
            </w:r>
          </w:p>
        </w:tc>
        <w:tc>
          <w:tcPr>
            <w:tcW w:w="716"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23</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710</w:t>
            </w:r>
          </w:p>
        </w:tc>
        <w:tc>
          <w:tcPr>
            <w:tcW w:w="716"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16</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473</w:t>
            </w:r>
          </w:p>
        </w:tc>
        <w:tc>
          <w:tcPr>
            <w:tcW w:w="977"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17</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615</w:t>
            </w:r>
          </w:p>
        </w:tc>
        <w:tc>
          <w:tcPr>
            <w:tcW w:w="716"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18</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761</w:t>
            </w:r>
          </w:p>
        </w:tc>
        <w:tc>
          <w:tcPr>
            <w:tcW w:w="985"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16</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933</w:t>
            </w:r>
          </w:p>
        </w:tc>
        <w:tc>
          <w:tcPr>
            <w:tcW w:w="851"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17</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184</w:t>
            </w:r>
          </w:p>
        </w:tc>
        <w:tc>
          <w:tcPr>
            <w:tcW w:w="850"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17</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723</w:t>
            </w:r>
          </w:p>
        </w:tc>
        <w:tc>
          <w:tcPr>
            <w:tcW w:w="851"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18</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780</w:t>
            </w:r>
          </w:p>
        </w:tc>
        <w:tc>
          <w:tcPr>
            <w:tcW w:w="858"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18</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716</w:t>
            </w:r>
          </w:p>
        </w:tc>
      </w:tr>
      <w:tr w:rsidR="00A9452F" w:rsidRPr="00B654F2" w:rsidTr="00A9452F">
        <w:trPr>
          <w:trHeight w:val="300"/>
        </w:trPr>
        <w:tc>
          <w:tcPr>
            <w:tcW w:w="1555" w:type="dxa"/>
            <w:shd w:val="clear" w:color="auto" w:fill="auto"/>
            <w:noWrap/>
            <w:vAlign w:val="bottom"/>
            <w:hideMark/>
          </w:tcPr>
          <w:p w:rsidR="00A9452F" w:rsidRPr="00A9452F" w:rsidRDefault="00A9452F" w:rsidP="00A9452F">
            <w:pPr>
              <w:spacing w:after="0" w:line="240" w:lineRule="auto"/>
              <w:rPr>
                <w:rFonts w:ascii="Times New Roman" w:eastAsia="Times New Roman" w:hAnsi="Times New Roman" w:cs="Times New Roman"/>
                <w:color w:val="000000"/>
                <w:sz w:val="20"/>
                <w:szCs w:val="20"/>
              </w:rPr>
            </w:pPr>
            <w:proofErr w:type="spellStart"/>
            <w:r w:rsidRPr="00A9452F">
              <w:rPr>
                <w:rFonts w:ascii="Times New Roman" w:eastAsia="Times New Roman" w:hAnsi="Times New Roman" w:cs="Times New Roman"/>
                <w:color w:val="000000"/>
                <w:sz w:val="20"/>
                <w:szCs w:val="20"/>
              </w:rPr>
              <w:t>разлика</w:t>
            </w:r>
            <w:proofErr w:type="spellEnd"/>
            <w:r w:rsidRPr="00A9452F">
              <w:rPr>
                <w:rFonts w:ascii="Times New Roman" w:eastAsia="Times New Roman" w:hAnsi="Times New Roman" w:cs="Times New Roman"/>
                <w:color w:val="000000"/>
                <w:sz w:val="20"/>
                <w:szCs w:val="20"/>
              </w:rPr>
              <w:t xml:space="preserve"> (2-1)</w:t>
            </w:r>
          </w:p>
        </w:tc>
        <w:tc>
          <w:tcPr>
            <w:tcW w:w="716" w:type="dxa"/>
            <w:shd w:val="clear" w:color="auto" w:fill="auto"/>
            <w:noWrap/>
            <w:vAlign w:val="bottom"/>
            <w:hideMark/>
          </w:tcPr>
          <w:p w:rsidR="00A9452F" w:rsidRPr="00A9452F" w:rsidRDefault="00A9452F" w:rsidP="00A9452F">
            <w:pPr>
              <w:spacing w:after="0" w:line="240" w:lineRule="auto"/>
              <w:rPr>
                <w:rFonts w:ascii="Times New Roman" w:eastAsia="Times New Roman" w:hAnsi="Times New Roman" w:cs="Times New Roman"/>
                <w:color w:val="000000"/>
                <w:sz w:val="20"/>
                <w:szCs w:val="20"/>
              </w:rPr>
            </w:pPr>
          </w:p>
        </w:tc>
        <w:tc>
          <w:tcPr>
            <w:tcW w:w="716" w:type="dxa"/>
            <w:shd w:val="clear" w:color="auto" w:fill="auto"/>
            <w:noWrap/>
            <w:vAlign w:val="bottom"/>
            <w:hideMark/>
          </w:tcPr>
          <w:p w:rsidR="00A9452F" w:rsidRPr="00A9452F" w:rsidRDefault="00A9452F" w:rsidP="00A9452F">
            <w:pPr>
              <w:spacing w:after="0" w:line="240" w:lineRule="auto"/>
              <w:rPr>
                <w:rFonts w:ascii="Times New Roman" w:eastAsia="Times New Roman" w:hAnsi="Times New Roman" w:cs="Times New Roman"/>
                <w:sz w:val="20"/>
                <w:szCs w:val="20"/>
              </w:rPr>
            </w:pPr>
          </w:p>
        </w:tc>
        <w:tc>
          <w:tcPr>
            <w:tcW w:w="977"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-35</w:t>
            </w:r>
          </w:p>
        </w:tc>
        <w:tc>
          <w:tcPr>
            <w:tcW w:w="716"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0</w:t>
            </w:r>
          </w:p>
        </w:tc>
        <w:tc>
          <w:tcPr>
            <w:tcW w:w="985"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0</w:t>
            </w:r>
          </w:p>
        </w:tc>
        <w:tc>
          <w:tcPr>
            <w:tcW w:w="851"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-3</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685</w:t>
            </w:r>
          </w:p>
        </w:tc>
        <w:tc>
          <w:tcPr>
            <w:tcW w:w="850"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-1</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906</w:t>
            </w:r>
          </w:p>
        </w:tc>
        <w:tc>
          <w:tcPr>
            <w:tcW w:w="851"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-76</w:t>
            </w:r>
          </w:p>
        </w:tc>
        <w:tc>
          <w:tcPr>
            <w:tcW w:w="858" w:type="dxa"/>
            <w:shd w:val="clear" w:color="auto" w:fill="auto"/>
            <w:noWrap/>
            <w:vAlign w:val="bottom"/>
            <w:hideMark/>
          </w:tcPr>
          <w:p w:rsidR="00A9452F" w:rsidRPr="00A9452F" w:rsidRDefault="00A9452F" w:rsidP="00A9452F">
            <w:pPr>
              <w:spacing w:after="0" w:line="240" w:lineRule="auto"/>
              <w:jc w:val="right"/>
              <w:rPr>
                <w:rFonts w:ascii="Times New Roman" w:eastAsia="Times New Roman" w:hAnsi="Times New Roman" w:cs="Times New Roman"/>
                <w:color w:val="000000"/>
                <w:sz w:val="20"/>
                <w:szCs w:val="20"/>
              </w:rPr>
            </w:pPr>
            <w:r w:rsidRPr="00A9452F">
              <w:rPr>
                <w:rFonts w:ascii="Times New Roman" w:eastAsia="Times New Roman" w:hAnsi="Times New Roman" w:cs="Times New Roman"/>
                <w:color w:val="000000"/>
                <w:sz w:val="20"/>
                <w:szCs w:val="20"/>
              </w:rPr>
              <w:t>-2</w:t>
            </w:r>
            <w:r w:rsidR="00C1700B" w:rsidRPr="00B654F2">
              <w:rPr>
                <w:rFonts w:ascii="Times New Roman" w:eastAsia="Times New Roman" w:hAnsi="Times New Roman" w:cs="Times New Roman"/>
                <w:color w:val="000000"/>
                <w:sz w:val="20"/>
                <w:szCs w:val="20"/>
                <w:lang w:val="mk-MK"/>
              </w:rPr>
              <w:t>.</w:t>
            </w:r>
            <w:r w:rsidRPr="00A9452F">
              <w:rPr>
                <w:rFonts w:ascii="Times New Roman" w:eastAsia="Times New Roman" w:hAnsi="Times New Roman" w:cs="Times New Roman"/>
                <w:color w:val="000000"/>
                <w:sz w:val="20"/>
                <w:szCs w:val="20"/>
              </w:rPr>
              <w:t>084</w:t>
            </w:r>
          </w:p>
        </w:tc>
      </w:tr>
    </w:tbl>
    <w:p w:rsidR="00963A51" w:rsidRPr="00B654F2" w:rsidRDefault="00963A51" w:rsidP="00963A51">
      <w:pPr>
        <w:spacing w:after="0" w:line="240" w:lineRule="auto"/>
        <w:rPr>
          <w:rFonts w:ascii="Times New Roman" w:hAnsi="Times New Roman" w:cs="Times New Roman"/>
          <w:sz w:val="20"/>
          <w:szCs w:val="20"/>
          <w:lang w:val="mk-MK"/>
        </w:rPr>
      </w:pPr>
      <w:r w:rsidRPr="00B654F2">
        <w:rPr>
          <w:rFonts w:ascii="Times New Roman" w:hAnsi="Times New Roman" w:cs="Times New Roman"/>
          <w:sz w:val="20"/>
          <w:szCs w:val="20"/>
          <w:lang w:val="mk-MK"/>
        </w:rPr>
        <w:t xml:space="preserve">Извор: </w:t>
      </w:r>
      <w:r w:rsidR="00DD1B66" w:rsidRPr="00B654F2">
        <w:rPr>
          <w:rFonts w:ascii="Times New Roman" w:hAnsi="Times New Roman" w:cs="Times New Roman"/>
          <w:sz w:val="20"/>
          <w:szCs w:val="20"/>
          <w:lang w:val="mk-MK"/>
        </w:rPr>
        <w:t xml:space="preserve">Пресметки според достапни податоци од </w:t>
      </w:r>
      <w:r w:rsidRPr="00B654F2">
        <w:rPr>
          <w:rFonts w:ascii="Times New Roman" w:hAnsi="Times New Roman" w:cs="Times New Roman"/>
          <w:sz w:val="20"/>
          <w:szCs w:val="20"/>
          <w:lang w:val="mk-MK"/>
        </w:rPr>
        <w:t xml:space="preserve">Финансиски извештаи </w:t>
      </w:r>
      <w:r w:rsidR="00DD1B66" w:rsidRPr="00B654F2">
        <w:rPr>
          <w:rFonts w:ascii="Times New Roman" w:hAnsi="Times New Roman" w:cs="Times New Roman"/>
          <w:sz w:val="20"/>
          <w:szCs w:val="20"/>
          <w:lang w:val="mk-MK"/>
        </w:rPr>
        <w:t>на</w:t>
      </w:r>
      <w:r w:rsidRPr="00B654F2">
        <w:rPr>
          <w:rFonts w:ascii="Times New Roman" w:hAnsi="Times New Roman" w:cs="Times New Roman"/>
          <w:sz w:val="20"/>
          <w:szCs w:val="20"/>
          <w:lang w:val="mk-MK"/>
        </w:rPr>
        <w:t xml:space="preserve"> КЗК</w:t>
      </w:r>
    </w:p>
    <w:p w:rsidR="00C1700B" w:rsidRPr="00B654F2" w:rsidRDefault="00C1700B">
      <w:pPr>
        <w:rPr>
          <w:rFonts w:ascii="Times New Roman" w:hAnsi="Times New Roman" w:cs="Times New Roman"/>
          <w:b/>
          <w:sz w:val="24"/>
          <w:szCs w:val="24"/>
          <w:lang w:val="mk-MK"/>
        </w:rPr>
      </w:pPr>
      <w:r w:rsidRPr="00B654F2">
        <w:rPr>
          <w:rFonts w:ascii="Times New Roman" w:hAnsi="Times New Roman" w:cs="Times New Roman"/>
          <w:b/>
          <w:sz w:val="24"/>
          <w:szCs w:val="24"/>
          <w:lang w:val="mk-MK"/>
        </w:rPr>
        <w:t xml:space="preserve"> </w:t>
      </w:r>
    </w:p>
    <w:p w:rsidR="00A9452F" w:rsidRPr="00B654F2" w:rsidRDefault="00BE753C" w:rsidP="00BE753C">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КЗК често пати се соочена да работи со помал износ на финансиски средства од планираните </w:t>
      </w:r>
      <w:r w:rsidR="0039779A">
        <w:rPr>
          <w:rFonts w:ascii="Times New Roman" w:hAnsi="Times New Roman" w:cs="Times New Roman"/>
          <w:sz w:val="24"/>
          <w:szCs w:val="24"/>
          <w:lang w:val="mk-MK"/>
        </w:rPr>
        <w:t>за</w:t>
      </w:r>
      <w:r>
        <w:rPr>
          <w:rFonts w:ascii="Times New Roman" w:hAnsi="Times New Roman" w:cs="Times New Roman"/>
          <w:sz w:val="24"/>
          <w:szCs w:val="24"/>
          <w:lang w:val="mk-MK"/>
        </w:rPr>
        <w:t xml:space="preserve"> тековната година. </w:t>
      </w:r>
      <w:r w:rsidR="00C1700B" w:rsidRPr="00B654F2">
        <w:rPr>
          <w:rFonts w:ascii="Times New Roman" w:hAnsi="Times New Roman" w:cs="Times New Roman"/>
          <w:sz w:val="24"/>
          <w:szCs w:val="24"/>
          <w:lang w:val="mk-MK"/>
        </w:rPr>
        <w:t xml:space="preserve">За 2015 и 2018 година, </w:t>
      </w:r>
      <w:r w:rsidR="00E06EE7" w:rsidRPr="00B654F2">
        <w:rPr>
          <w:rFonts w:ascii="Times New Roman" w:hAnsi="Times New Roman" w:cs="Times New Roman"/>
          <w:sz w:val="24"/>
          <w:szCs w:val="24"/>
          <w:lang w:val="mk-MK"/>
        </w:rPr>
        <w:t xml:space="preserve">одобрените финансиски ресурси беа помали за 17% односно за 10% во однос на годишно планираните средства за работа на комисијата </w:t>
      </w:r>
      <w:r w:rsidR="00E06EE7" w:rsidRPr="00571679">
        <w:rPr>
          <w:rFonts w:ascii="Times New Roman" w:hAnsi="Times New Roman" w:cs="Times New Roman"/>
          <w:sz w:val="24"/>
          <w:szCs w:val="24"/>
          <w:lang w:val="mk-MK"/>
        </w:rPr>
        <w:t>(види табела</w:t>
      </w:r>
      <w:r w:rsidR="00571679" w:rsidRPr="00571679">
        <w:rPr>
          <w:rFonts w:ascii="Times New Roman" w:hAnsi="Times New Roman" w:cs="Times New Roman"/>
          <w:sz w:val="24"/>
          <w:szCs w:val="24"/>
          <w:lang w:val="mk-MK"/>
        </w:rPr>
        <w:t xml:space="preserve"> 2</w:t>
      </w:r>
      <w:r w:rsidR="00E06EE7" w:rsidRPr="00571679">
        <w:rPr>
          <w:rFonts w:ascii="Times New Roman" w:hAnsi="Times New Roman" w:cs="Times New Roman"/>
          <w:sz w:val="24"/>
          <w:szCs w:val="24"/>
          <w:lang w:val="mk-MK"/>
        </w:rPr>
        <w:t>).</w:t>
      </w:r>
    </w:p>
    <w:p w:rsidR="00E06EE7" w:rsidRPr="00B654F2" w:rsidRDefault="00E06EE7" w:rsidP="00E06EE7">
      <w:pPr>
        <w:jc w:val="both"/>
        <w:rPr>
          <w:rFonts w:ascii="Times New Roman" w:hAnsi="Times New Roman" w:cs="Times New Roman"/>
          <w:sz w:val="24"/>
          <w:szCs w:val="24"/>
          <w:lang w:val="mk-MK"/>
        </w:rPr>
      </w:pPr>
      <w:r w:rsidRPr="00B654F2">
        <w:rPr>
          <w:rFonts w:ascii="Times New Roman" w:hAnsi="Times New Roman" w:cs="Times New Roman"/>
          <w:sz w:val="24"/>
          <w:szCs w:val="24"/>
          <w:lang w:val="mk-MK"/>
        </w:rPr>
        <w:t xml:space="preserve">Структурата на буџетот на комисијата исто така е неадекватна за идниот развој на институцијата. Во просек, над 80% од планираните расходи се наменети за задоволување на </w:t>
      </w:r>
      <w:r w:rsidR="002831A7" w:rsidRPr="00B654F2">
        <w:rPr>
          <w:rFonts w:ascii="Times New Roman" w:hAnsi="Times New Roman" w:cs="Times New Roman"/>
          <w:sz w:val="24"/>
          <w:szCs w:val="24"/>
          <w:lang w:val="mk-MK"/>
        </w:rPr>
        <w:t>трошоците за плати и надоместоци за плати, за патни и дневни расходи</w:t>
      </w:r>
      <w:r w:rsidR="00487973" w:rsidRPr="00B654F2">
        <w:rPr>
          <w:rFonts w:ascii="Times New Roman" w:hAnsi="Times New Roman" w:cs="Times New Roman"/>
          <w:sz w:val="24"/>
          <w:szCs w:val="24"/>
          <w:lang w:val="mk-MK"/>
        </w:rPr>
        <w:t xml:space="preserve">, а останатите средства се наменети за покривање на трошоци за тековно работење. Средствата наменети за унапредување, обуки и подобрување на експертските знаења на вработените задолжени </w:t>
      </w:r>
      <w:r w:rsidR="00487973" w:rsidRPr="00B654F2">
        <w:rPr>
          <w:rFonts w:ascii="Times New Roman" w:hAnsi="Times New Roman" w:cs="Times New Roman"/>
          <w:sz w:val="24"/>
          <w:szCs w:val="24"/>
          <w:lang w:val="mk-MK"/>
        </w:rPr>
        <w:lastRenderedPageBreak/>
        <w:t xml:space="preserve">за спроведување на регулативата речиси и да не постојат во годишните финансиски извештаи. </w:t>
      </w:r>
    </w:p>
    <w:p w:rsidR="00A9452F" w:rsidRPr="00571679" w:rsidRDefault="00963A51" w:rsidP="00963A51">
      <w:pPr>
        <w:jc w:val="center"/>
        <w:rPr>
          <w:rFonts w:ascii="Times New Roman" w:hAnsi="Times New Roman" w:cs="Times New Roman"/>
          <w:b/>
          <w:sz w:val="24"/>
          <w:szCs w:val="24"/>
          <w:lang w:val="mk-MK"/>
        </w:rPr>
      </w:pPr>
      <w:r w:rsidRPr="00571679">
        <w:rPr>
          <w:rFonts w:ascii="Times New Roman" w:hAnsi="Times New Roman" w:cs="Times New Roman"/>
          <w:b/>
          <w:sz w:val="24"/>
          <w:szCs w:val="24"/>
          <w:lang w:val="mk-MK"/>
        </w:rPr>
        <w:t>График</w:t>
      </w:r>
      <w:r w:rsidR="00571679" w:rsidRPr="00571679">
        <w:rPr>
          <w:rFonts w:ascii="Times New Roman" w:hAnsi="Times New Roman" w:cs="Times New Roman"/>
          <w:b/>
          <w:sz w:val="24"/>
          <w:szCs w:val="24"/>
          <w:lang w:val="mk-MK"/>
        </w:rPr>
        <w:t>он3:</w:t>
      </w:r>
      <w:r w:rsidRPr="00571679">
        <w:rPr>
          <w:rFonts w:ascii="Times New Roman" w:hAnsi="Times New Roman" w:cs="Times New Roman"/>
          <w:b/>
          <w:sz w:val="24"/>
          <w:szCs w:val="24"/>
          <w:lang w:val="mk-MK"/>
        </w:rPr>
        <w:t xml:space="preserve"> Учество на расходите по основ на плати, надоместоци и патни и дневни </w:t>
      </w:r>
      <w:r w:rsidR="006371D2" w:rsidRPr="00571679">
        <w:rPr>
          <w:rFonts w:ascii="Times New Roman" w:hAnsi="Times New Roman" w:cs="Times New Roman"/>
          <w:b/>
          <w:sz w:val="24"/>
          <w:szCs w:val="24"/>
          <w:lang w:val="mk-MK"/>
        </w:rPr>
        <w:t>расходи</w:t>
      </w:r>
      <w:r w:rsidRPr="00571679">
        <w:rPr>
          <w:rFonts w:ascii="Times New Roman" w:hAnsi="Times New Roman" w:cs="Times New Roman"/>
          <w:b/>
          <w:sz w:val="24"/>
          <w:szCs w:val="24"/>
          <w:lang w:val="mk-MK"/>
        </w:rPr>
        <w:t xml:space="preserve"> во расположивте буџетски средства на КЗК во периодот 2012-2018</w:t>
      </w:r>
    </w:p>
    <w:p w:rsidR="00963A51" w:rsidRPr="00B654F2" w:rsidRDefault="00963A51" w:rsidP="00571679">
      <w:pPr>
        <w:jc w:val="center"/>
        <w:rPr>
          <w:rFonts w:ascii="Times New Roman" w:hAnsi="Times New Roman" w:cs="Times New Roman"/>
          <w:b/>
          <w:sz w:val="24"/>
          <w:szCs w:val="24"/>
          <w:lang w:val="mk-MK"/>
        </w:rPr>
      </w:pPr>
      <w:r w:rsidRPr="00B654F2">
        <w:rPr>
          <w:rFonts w:ascii="Times New Roman" w:hAnsi="Times New Roman" w:cs="Times New Roman"/>
          <w:b/>
          <w:noProof/>
          <w:sz w:val="24"/>
          <w:szCs w:val="24"/>
        </w:rPr>
        <w:drawing>
          <wp:inline distT="0" distB="0" distL="0" distR="0" wp14:anchorId="3A48EAE0">
            <wp:extent cx="4578350" cy="2755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DD1B66" w:rsidRPr="00B654F2" w:rsidRDefault="00571679" w:rsidP="00571679">
      <w:pPr>
        <w:spacing w:after="0" w:line="240" w:lineRule="auto"/>
        <w:ind w:firstLine="720"/>
        <w:rPr>
          <w:rFonts w:ascii="Times New Roman" w:hAnsi="Times New Roman" w:cs="Times New Roman"/>
          <w:sz w:val="20"/>
          <w:szCs w:val="20"/>
          <w:lang w:val="mk-MK"/>
        </w:rPr>
      </w:pPr>
      <w:r>
        <w:rPr>
          <w:rFonts w:ascii="Times New Roman" w:hAnsi="Times New Roman" w:cs="Times New Roman"/>
          <w:sz w:val="20"/>
          <w:szCs w:val="20"/>
          <w:lang w:val="mk-MK"/>
        </w:rPr>
        <w:t xml:space="preserve">       </w:t>
      </w:r>
      <w:r w:rsidR="00E76823" w:rsidRPr="00B654F2">
        <w:rPr>
          <w:rFonts w:ascii="Times New Roman" w:hAnsi="Times New Roman" w:cs="Times New Roman"/>
          <w:sz w:val="20"/>
          <w:szCs w:val="20"/>
          <w:lang w:val="mk-MK"/>
        </w:rPr>
        <w:t xml:space="preserve">Извор: </w:t>
      </w:r>
      <w:r w:rsidR="00DD1B66" w:rsidRPr="00B654F2">
        <w:rPr>
          <w:rFonts w:ascii="Times New Roman" w:hAnsi="Times New Roman" w:cs="Times New Roman"/>
          <w:sz w:val="20"/>
          <w:szCs w:val="20"/>
          <w:lang w:val="mk-MK"/>
        </w:rPr>
        <w:t>Пресметки според достапни податоци од Финансиски извештаи на КЗК</w:t>
      </w:r>
    </w:p>
    <w:p w:rsidR="00F51059" w:rsidRPr="00B654F2" w:rsidRDefault="00F51059">
      <w:pPr>
        <w:rPr>
          <w:rFonts w:ascii="Times New Roman" w:hAnsi="Times New Roman" w:cs="Times New Roman"/>
          <w:sz w:val="24"/>
          <w:szCs w:val="24"/>
          <w:lang w:val="mk-MK"/>
        </w:rPr>
      </w:pPr>
    </w:p>
    <w:p w:rsidR="00B83803" w:rsidRPr="00072F38" w:rsidRDefault="00B654F2" w:rsidP="00D315B9">
      <w:pPr>
        <w:jc w:val="both"/>
        <w:rPr>
          <w:rFonts w:ascii="Times New Roman" w:hAnsi="Times New Roman" w:cs="Times New Roman"/>
          <w:sz w:val="24"/>
          <w:szCs w:val="24"/>
          <w:lang w:val="mk-MK"/>
        </w:rPr>
      </w:pPr>
      <w:r w:rsidRPr="00B654F2">
        <w:rPr>
          <w:rFonts w:ascii="Times New Roman" w:hAnsi="Times New Roman" w:cs="Times New Roman"/>
          <w:sz w:val="24"/>
          <w:szCs w:val="24"/>
          <w:lang w:val="mk-MK"/>
        </w:rPr>
        <w:t>Во периодот од 2010 година до 2018 година, КЗК преку спроведувањето на законската регулати</w:t>
      </w:r>
      <w:r w:rsidR="00D315B9">
        <w:rPr>
          <w:rFonts w:ascii="Times New Roman" w:hAnsi="Times New Roman" w:cs="Times New Roman"/>
          <w:sz w:val="24"/>
          <w:szCs w:val="24"/>
          <w:lang w:val="mk-MK"/>
        </w:rPr>
        <w:t xml:space="preserve">ва за заштита на конкуренцијата комисијата утврдила над 1,140 милиони денари износ на парични казни, од кои речиси 90 % се изречени по основ на склучување на </w:t>
      </w:r>
      <w:proofErr w:type="spellStart"/>
      <w:r w:rsidR="00D315B9">
        <w:rPr>
          <w:rFonts w:ascii="Times New Roman" w:hAnsi="Times New Roman" w:cs="Times New Roman"/>
          <w:sz w:val="24"/>
          <w:szCs w:val="24"/>
          <w:lang w:val="mk-MK"/>
        </w:rPr>
        <w:t>картелски</w:t>
      </w:r>
      <w:proofErr w:type="spellEnd"/>
      <w:r w:rsidR="00D315B9">
        <w:rPr>
          <w:rFonts w:ascii="Times New Roman" w:hAnsi="Times New Roman" w:cs="Times New Roman"/>
          <w:sz w:val="24"/>
          <w:szCs w:val="24"/>
          <w:lang w:val="mk-MK"/>
        </w:rPr>
        <w:t xml:space="preserve"> договори меѓу конкурентите на пазарот.</w:t>
      </w:r>
      <w:r w:rsidR="00B758CB">
        <w:rPr>
          <w:rFonts w:ascii="Times New Roman" w:hAnsi="Times New Roman" w:cs="Times New Roman"/>
          <w:sz w:val="24"/>
          <w:szCs w:val="24"/>
          <w:lang w:val="mk-MK"/>
        </w:rPr>
        <w:t xml:space="preserve"> </w:t>
      </w:r>
    </w:p>
    <w:p w:rsidR="00B654F2" w:rsidRPr="006238AF" w:rsidRDefault="006371D2" w:rsidP="006238AF">
      <w:pPr>
        <w:jc w:val="center"/>
        <w:rPr>
          <w:rFonts w:ascii="Times New Roman" w:hAnsi="Times New Roman" w:cs="Times New Roman"/>
          <w:b/>
          <w:sz w:val="24"/>
          <w:szCs w:val="24"/>
          <w:lang w:val="mk-MK"/>
        </w:rPr>
      </w:pPr>
      <w:r>
        <w:rPr>
          <w:rFonts w:ascii="Times New Roman" w:hAnsi="Times New Roman" w:cs="Times New Roman"/>
          <w:b/>
          <w:sz w:val="24"/>
          <w:szCs w:val="24"/>
          <w:lang w:val="mk-MK"/>
        </w:rPr>
        <w:t>Табела 3:</w:t>
      </w:r>
      <w:r w:rsidR="00B654F2" w:rsidRPr="006238AF">
        <w:rPr>
          <w:rFonts w:ascii="Times New Roman" w:hAnsi="Times New Roman" w:cs="Times New Roman"/>
          <w:b/>
          <w:sz w:val="24"/>
          <w:szCs w:val="24"/>
          <w:lang w:val="mk-MK"/>
        </w:rPr>
        <w:t xml:space="preserve"> Вкупен износ на </w:t>
      </w:r>
      <w:r w:rsidR="00AA23AE">
        <w:rPr>
          <w:rFonts w:ascii="Times New Roman" w:hAnsi="Times New Roman" w:cs="Times New Roman"/>
          <w:b/>
          <w:sz w:val="24"/>
          <w:szCs w:val="24"/>
          <w:lang w:val="mk-MK"/>
        </w:rPr>
        <w:t>изречени парични</w:t>
      </w:r>
      <w:r w:rsidR="00B654F2" w:rsidRPr="006238AF">
        <w:rPr>
          <w:rFonts w:ascii="Times New Roman" w:hAnsi="Times New Roman" w:cs="Times New Roman"/>
          <w:b/>
          <w:sz w:val="24"/>
          <w:szCs w:val="24"/>
          <w:lang w:val="mk-MK"/>
        </w:rPr>
        <w:t xml:space="preserve"> казни</w:t>
      </w:r>
      <w:r w:rsidR="00AA23AE">
        <w:rPr>
          <w:rFonts w:ascii="Times New Roman" w:hAnsi="Times New Roman" w:cs="Times New Roman"/>
          <w:b/>
          <w:sz w:val="24"/>
          <w:szCs w:val="24"/>
          <w:lang w:val="mk-MK"/>
        </w:rPr>
        <w:t xml:space="preserve"> во периодот 2010-2018 година</w:t>
      </w:r>
    </w:p>
    <w:tbl>
      <w:tblPr>
        <w:tblW w:w="5880" w:type="dxa"/>
        <w:jc w:val="center"/>
        <w:tblLook w:val="04A0" w:firstRow="1" w:lastRow="0" w:firstColumn="1" w:lastColumn="0" w:noHBand="0" w:noVBand="1"/>
      </w:tblPr>
      <w:tblGrid>
        <w:gridCol w:w="3340"/>
        <w:gridCol w:w="1339"/>
        <w:gridCol w:w="1201"/>
      </w:tblGrid>
      <w:tr w:rsidR="00B654F2" w:rsidRPr="00B654F2" w:rsidTr="006238AF">
        <w:trPr>
          <w:trHeight w:val="300"/>
          <w:jc w:val="center"/>
        </w:trPr>
        <w:tc>
          <w:tcPr>
            <w:tcW w:w="3340" w:type="dxa"/>
            <w:vMerge w:val="restart"/>
            <w:tcBorders>
              <w:top w:val="single" w:sz="4" w:space="0" w:color="auto"/>
              <w:left w:val="single" w:sz="4" w:space="0" w:color="auto"/>
              <w:right w:val="single" w:sz="4" w:space="0" w:color="auto"/>
            </w:tcBorders>
            <w:shd w:val="clear" w:color="auto" w:fill="auto"/>
            <w:noWrap/>
            <w:vAlign w:val="bottom"/>
            <w:hideMark/>
          </w:tcPr>
          <w:p w:rsidR="00B654F2" w:rsidRPr="00B654F2" w:rsidRDefault="00B654F2" w:rsidP="00B654F2">
            <w:pPr>
              <w:spacing w:after="0" w:line="240" w:lineRule="auto"/>
              <w:rPr>
                <w:rFonts w:ascii="Calibri" w:eastAsia="Times New Roman" w:hAnsi="Calibri" w:cs="Times New Roman"/>
                <w:color w:val="000000"/>
              </w:rPr>
            </w:pPr>
            <w:r w:rsidRPr="00B654F2">
              <w:rPr>
                <w:rFonts w:ascii="Calibri" w:eastAsia="Times New Roman" w:hAnsi="Calibri" w:cs="Times New Roman"/>
                <w:color w:val="000000"/>
              </w:rPr>
              <w:t> </w:t>
            </w:r>
          </w:p>
          <w:p w:rsidR="00B654F2" w:rsidRPr="00B654F2" w:rsidRDefault="00B654F2" w:rsidP="00B654F2">
            <w:pPr>
              <w:spacing w:after="0" w:line="240" w:lineRule="auto"/>
              <w:rPr>
                <w:rFonts w:ascii="Calibri" w:eastAsia="Times New Roman" w:hAnsi="Calibri" w:cs="Times New Roman"/>
                <w:color w:val="000000"/>
              </w:rPr>
            </w:pPr>
            <w:r w:rsidRPr="00B654F2">
              <w:rPr>
                <w:rFonts w:ascii="Calibri" w:eastAsia="Times New Roman" w:hAnsi="Calibri" w:cs="Times New Roman"/>
                <w:color w:val="000000"/>
              </w:rPr>
              <w:t> </w:t>
            </w:r>
          </w:p>
        </w:tc>
        <w:tc>
          <w:tcPr>
            <w:tcW w:w="254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654F2" w:rsidRPr="00B654F2" w:rsidRDefault="00B654F2" w:rsidP="00B654F2">
            <w:pPr>
              <w:spacing w:after="0" w:line="240" w:lineRule="auto"/>
              <w:jc w:val="center"/>
              <w:rPr>
                <w:rFonts w:ascii="Calibri" w:eastAsia="Times New Roman" w:hAnsi="Calibri" w:cs="Times New Roman"/>
                <w:b/>
                <w:color w:val="000000"/>
              </w:rPr>
            </w:pPr>
            <w:proofErr w:type="spellStart"/>
            <w:r w:rsidRPr="00B654F2">
              <w:rPr>
                <w:rFonts w:ascii="Calibri" w:eastAsia="Times New Roman" w:hAnsi="Calibri" w:cs="Times New Roman"/>
                <w:b/>
                <w:color w:val="000000"/>
              </w:rPr>
              <w:t>Изречени</w:t>
            </w:r>
            <w:proofErr w:type="spellEnd"/>
            <w:r w:rsidRPr="00B654F2">
              <w:rPr>
                <w:rFonts w:ascii="Calibri" w:eastAsia="Times New Roman" w:hAnsi="Calibri" w:cs="Times New Roman"/>
                <w:b/>
                <w:color w:val="000000"/>
              </w:rPr>
              <w:t xml:space="preserve"> </w:t>
            </w:r>
            <w:proofErr w:type="spellStart"/>
            <w:r w:rsidRPr="00B654F2">
              <w:rPr>
                <w:rFonts w:ascii="Calibri" w:eastAsia="Times New Roman" w:hAnsi="Calibri" w:cs="Times New Roman"/>
                <w:b/>
                <w:color w:val="000000"/>
              </w:rPr>
              <w:t>казни</w:t>
            </w:r>
            <w:proofErr w:type="spellEnd"/>
          </w:p>
        </w:tc>
      </w:tr>
      <w:tr w:rsidR="00B654F2" w:rsidRPr="00B654F2" w:rsidTr="006238AF">
        <w:trPr>
          <w:trHeight w:val="300"/>
          <w:jc w:val="center"/>
        </w:trPr>
        <w:tc>
          <w:tcPr>
            <w:tcW w:w="3340" w:type="dxa"/>
            <w:vMerge/>
            <w:tcBorders>
              <w:left w:val="single" w:sz="4" w:space="0" w:color="auto"/>
              <w:bottom w:val="single" w:sz="4" w:space="0" w:color="auto"/>
              <w:right w:val="single" w:sz="4" w:space="0" w:color="auto"/>
            </w:tcBorders>
            <w:shd w:val="clear" w:color="auto" w:fill="auto"/>
            <w:noWrap/>
            <w:vAlign w:val="bottom"/>
            <w:hideMark/>
          </w:tcPr>
          <w:p w:rsidR="00B654F2" w:rsidRPr="00B654F2" w:rsidRDefault="00B654F2" w:rsidP="00B654F2">
            <w:pPr>
              <w:spacing w:after="0" w:line="240" w:lineRule="auto"/>
              <w:rPr>
                <w:rFonts w:ascii="Calibri" w:eastAsia="Times New Roman" w:hAnsi="Calibri" w:cs="Times New Roman"/>
                <w:color w:val="000000"/>
              </w:rPr>
            </w:pPr>
          </w:p>
        </w:tc>
        <w:tc>
          <w:tcPr>
            <w:tcW w:w="1339" w:type="dxa"/>
            <w:tcBorders>
              <w:top w:val="nil"/>
              <w:left w:val="nil"/>
              <w:bottom w:val="single" w:sz="4" w:space="0" w:color="auto"/>
              <w:right w:val="single" w:sz="4" w:space="0" w:color="auto"/>
            </w:tcBorders>
            <w:shd w:val="clear" w:color="auto" w:fill="BFBFBF" w:themeFill="background1" w:themeFillShade="BF"/>
            <w:noWrap/>
            <w:vAlign w:val="bottom"/>
            <w:hideMark/>
          </w:tcPr>
          <w:p w:rsidR="00B654F2" w:rsidRPr="00B654F2" w:rsidRDefault="00B654F2" w:rsidP="00B654F2">
            <w:pPr>
              <w:spacing w:after="0" w:line="240" w:lineRule="auto"/>
              <w:jc w:val="center"/>
              <w:rPr>
                <w:rFonts w:ascii="Calibri" w:eastAsia="Times New Roman" w:hAnsi="Calibri" w:cs="Times New Roman"/>
                <w:b/>
                <w:color w:val="000000"/>
              </w:rPr>
            </w:pPr>
            <w:proofErr w:type="spellStart"/>
            <w:proofErr w:type="gramStart"/>
            <w:r w:rsidRPr="00B654F2">
              <w:rPr>
                <w:rFonts w:ascii="Calibri" w:eastAsia="Times New Roman" w:hAnsi="Calibri" w:cs="Times New Roman"/>
                <w:b/>
                <w:color w:val="000000"/>
              </w:rPr>
              <w:t>во</w:t>
            </w:r>
            <w:proofErr w:type="spellEnd"/>
            <w:proofErr w:type="gramEnd"/>
            <w:r w:rsidRPr="00B654F2">
              <w:rPr>
                <w:rFonts w:ascii="Calibri" w:eastAsia="Times New Roman" w:hAnsi="Calibri" w:cs="Times New Roman"/>
                <w:b/>
                <w:color w:val="000000"/>
              </w:rPr>
              <w:t xml:space="preserve"> 000 </w:t>
            </w:r>
            <w:proofErr w:type="spellStart"/>
            <w:r w:rsidRPr="00B654F2">
              <w:rPr>
                <w:rFonts w:ascii="Calibri" w:eastAsia="Times New Roman" w:hAnsi="Calibri" w:cs="Times New Roman"/>
                <w:b/>
                <w:color w:val="000000"/>
              </w:rPr>
              <w:t>ден</w:t>
            </w:r>
            <w:proofErr w:type="spellEnd"/>
            <w:r w:rsidRPr="00B654F2">
              <w:rPr>
                <w:rFonts w:ascii="Calibri" w:eastAsia="Times New Roman" w:hAnsi="Calibri" w:cs="Times New Roman"/>
                <w:b/>
                <w:color w:val="000000"/>
              </w:rPr>
              <w:t>.</w:t>
            </w:r>
          </w:p>
        </w:tc>
        <w:tc>
          <w:tcPr>
            <w:tcW w:w="1201" w:type="dxa"/>
            <w:tcBorders>
              <w:top w:val="nil"/>
              <w:left w:val="nil"/>
              <w:bottom w:val="single" w:sz="4" w:space="0" w:color="auto"/>
              <w:right w:val="single" w:sz="4" w:space="0" w:color="auto"/>
            </w:tcBorders>
            <w:shd w:val="clear" w:color="auto" w:fill="BFBFBF" w:themeFill="background1" w:themeFillShade="BF"/>
            <w:noWrap/>
            <w:vAlign w:val="bottom"/>
            <w:hideMark/>
          </w:tcPr>
          <w:p w:rsidR="00B654F2" w:rsidRPr="00B654F2" w:rsidRDefault="00B654F2" w:rsidP="00B654F2">
            <w:pPr>
              <w:spacing w:after="0" w:line="240" w:lineRule="auto"/>
              <w:jc w:val="center"/>
              <w:rPr>
                <w:rFonts w:ascii="Calibri" w:eastAsia="Times New Roman" w:hAnsi="Calibri" w:cs="Times New Roman"/>
                <w:b/>
                <w:color w:val="000000"/>
              </w:rPr>
            </w:pPr>
            <w:r w:rsidRPr="00B654F2">
              <w:rPr>
                <w:rFonts w:ascii="Calibri" w:eastAsia="Times New Roman" w:hAnsi="Calibri" w:cs="Times New Roman"/>
                <w:b/>
                <w:color w:val="000000"/>
              </w:rPr>
              <w:t xml:space="preserve">% </w:t>
            </w:r>
            <w:proofErr w:type="spellStart"/>
            <w:r w:rsidRPr="00B654F2">
              <w:rPr>
                <w:rFonts w:ascii="Calibri" w:eastAsia="Times New Roman" w:hAnsi="Calibri" w:cs="Times New Roman"/>
                <w:b/>
                <w:color w:val="000000"/>
              </w:rPr>
              <w:t>учество</w:t>
            </w:r>
            <w:proofErr w:type="spellEnd"/>
          </w:p>
        </w:tc>
      </w:tr>
      <w:tr w:rsidR="00B654F2" w:rsidRPr="00B654F2" w:rsidTr="006238AF">
        <w:trPr>
          <w:trHeight w:val="27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654F2" w:rsidRPr="00B654F2" w:rsidRDefault="00B654F2" w:rsidP="00B654F2">
            <w:pPr>
              <w:spacing w:after="0" w:line="240" w:lineRule="auto"/>
              <w:rPr>
                <w:rFonts w:ascii="Calibri" w:eastAsia="Times New Roman" w:hAnsi="Calibri" w:cs="Times New Roman"/>
                <w:color w:val="000000"/>
              </w:rPr>
            </w:pPr>
            <w:proofErr w:type="spellStart"/>
            <w:r w:rsidRPr="00B654F2">
              <w:rPr>
                <w:rFonts w:ascii="Calibri" w:eastAsia="Times New Roman" w:hAnsi="Calibri" w:cs="Times New Roman"/>
                <w:color w:val="000000"/>
              </w:rPr>
              <w:t>Картелски</w:t>
            </w:r>
            <w:proofErr w:type="spellEnd"/>
            <w:r w:rsidRPr="00B654F2">
              <w:rPr>
                <w:rFonts w:ascii="Calibri" w:eastAsia="Times New Roman" w:hAnsi="Calibri" w:cs="Times New Roman"/>
                <w:color w:val="000000"/>
              </w:rPr>
              <w:t xml:space="preserve"> </w:t>
            </w:r>
            <w:proofErr w:type="spellStart"/>
            <w:r w:rsidRPr="00B654F2">
              <w:rPr>
                <w:rFonts w:ascii="Calibri" w:eastAsia="Times New Roman" w:hAnsi="Calibri" w:cs="Times New Roman"/>
                <w:color w:val="000000"/>
              </w:rPr>
              <w:t>договори</w:t>
            </w:r>
            <w:proofErr w:type="spellEnd"/>
          </w:p>
        </w:tc>
        <w:tc>
          <w:tcPr>
            <w:tcW w:w="1339" w:type="dxa"/>
            <w:tcBorders>
              <w:top w:val="nil"/>
              <w:left w:val="nil"/>
              <w:bottom w:val="single" w:sz="4" w:space="0" w:color="auto"/>
              <w:right w:val="single" w:sz="4" w:space="0" w:color="auto"/>
            </w:tcBorders>
            <w:shd w:val="clear" w:color="auto" w:fill="auto"/>
            <w:noWrap/>
            <w:vAlign w:val="bottom"/>
            <w:hideMark/>
          </w:tcPr>
          <w:p w:rsidR="00B654F2" w:rsidRPr="00B654F2" w:rsidRDefault="00B654F2" w:rsidP="006238AF">
            <w:pPr>
              <w:spacing w:after="0" w:line="240" w:lineRule="auto"/>
              <w:jc w:val="center"/>
              <w:rPr>
                <w:rFonts w:ascii="Calibri" w:eastAsia="Times New Roman" w:hAnsi="Calibri" w:cs="Times New Roman"/>
                <w:color w:val="000000"/>
              </w:rPr>
            </w:pPr>
            <w:r w:rsidRPr="00B654F2">
              <w:rPr>
                <w:rFonts w:ascii="Calibri" w:eastAsia="Times New Roman" w:hAnsi="Calibri" w:cs="Times New Roman"/>
                <w:color w:val="000000"/>
              </w:rPr>
              <w:t>1,021,943</w:t>
            </w:r>
          </w:p>
        </w:tc>
        <w:tc>
          <w:tcPr>
            <w:tcW w:w="1201" w:type="dxa"/>
            <w:tcBorders>
              <w:top w:val="nil"/>
              <w:left w:val="nil"/>
              <w:bottom w:val="single" w:sz="4" w:space="0" w:color="auto"/>
              <w:right w:val="single" w:sz="4" w:space="0" w:color="auto"/>
            </w:tcBorders>
            <w:shd w:val="clear" w:color="auto" w:fill="auto"/>
            <w:noWrap/>
            <w:vAlign w:val="bottom"/>
            <w:hideMark/>
          </w:tcPr>
          <w:p w:rsidR="00B654F2" w:rsidRPr="00B654F2" w:rsidRDefault="00B654F2" w:rsidP="0097536F">
            <w:pPr>
              <w:spacing w:after="0" w:line="240" w:lineRule="auto"/>
              <w:jc w:val="right"/>
              <w:rPr>
                <w:rFonts w:ascii="Calibri" w:eastAsia="Times New Roman" w:hAnsi="Calibri" w:cs="Times New Roman"/>
                <w:color w:val="000000"/>
                <w:lang w:val="mk-MK"/>
              </w:rPr>
            </w:pPr>
            <w:r w:rsidRPr="00B654F2">
              <w:rPr>
                <w:rFonts w:ascii="Calibri" w:eastAsia="Times New Roman" w:hAnsi="Calibri" w:cs="Times New Roman"/>
                <w:color w:val="000000"/>
              </w:rPr>
              <w:t>89.6</w:t>
            </w:r>
            <w:r w:rsidR="0097536F">
              <w:rPr>
                <w:rFonts w:ascii="Calibri" w:eastAsia="Times New Roman" w:hAnsi="Calibri" w:cs="Times New Roman"/>
                <w:color w:val="000000"/>
                <w:lang w:val="mk-MK"/>
              </w:rPr>
              <w:t>%</w:t>
            </w:r>
          </w:p>
        </w:tc>
      </w:tr>
      <w:tr w:rsidR="00B654F2" w:rsidRPr="00B654F2" w:rsidTr="006238AF">
        <w:trPr>
          <w:trHeight w:val="60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B654F2" w:rsidRPr="00B654F2" w:rsidRDefault="00B654F2" w:rsidP="00B654F2">
            <w:pPr>
              <w:spacing w:after="0" w:line="240" w:lineRule="auto"/>
              <w:rPr>
                <w:rFonts w:ascii="Calibri" w:eastAsia="Times New Roman" w:hAnsi="Calibri" w:cs="Times New Roman"/>
                <w:color w:val="000000"/>
              </w:rPr>
            </w:pPr>
            <w:proofErr w:type="spellStart"/>
            <w:r w:rsidRPr="00B654F2">
              <w:rPr>
                <w:rFonts w:ascii="Calibri" w:eastAsia="Times New Roman" w:hAnsi="Calibri" w:cs="Times New Roman"/>
                <w:color w:val="000000"/>
              </w:rPr>
              <w:t>Злоупотреба</w:t>
            </w:r>
            <w:proofErr w:type="spellEnd"/>
            <w:r w:rsidRPr="00B654F2">
              <w:rPr>
                <w:rFonts w:ascii="Calibri" w:eastAsia="Times New Roman" w:hAnsi="Calibri" w:cs="Times New Roman"/>
                <w:color w:val="000000"/>
              </w:rPr>
              <w:t xml:space="preserve"> </w:t>
            </w:r>
            <w:proofErr w:type="spellStart"/>
            <w:r w:rsidRPr="00B654F2">
              <w:rPr>
                <w:rFonts w:ascii="Calibri" w:eastAsia="Times New Roman" w:hAnsi="Calibri" w:cs="Times New Roman"/>
                <w:color w:val="000000"/>
              </w:rPr>
              <w:t>на</w:t>
            </w:r>
            <w:proofErr w:type="spellEnd"/>
            <w:r w:rsidRPr="00B654F2">
              <w:rPr>
                <w:rFonts w:ascii="Calibri" w:eastAsia="Times New Roman" w:hAnsi="Calibri" w:cs="Times New Roman"/>
                <w:color w:val="000000"/>
              </w:rPr>
              <w:t xml:space="preserve"> </w:t>
            </w:r>
            <w:proofErr w:type="spellStart"/>
            <w:r w:rsidRPr="00B654F2">
              <w:rPr>
                <w:rFonts w:ascii="Calibri" w:eastAsia="Times New Roman" w:hAnsi="Calibri" w:cs="Times New Roman"/>
                <w:color w:val="000000"/>
              </w:rPr>
              <w:t>дом</w:t>
            </w:r>
            <w:proofErr w:type="spellEnd"/>
            <w:r w:rsidRPr="00B654F2">
              <w:rPr>
                <w:rFonts w:ascii="Calibri" w:eastAsia="Times New Roman" w:hAnsi="Calibri" w:cs="Times New Roman"/>
                <w:color w:val="000000"/>
              </w:rPr>
              <w:br/>
            </w:r>
            <w:proofErr w:type="spellStart"/>
            <w:r w:rsidRPr="00B654F2">
              <w:rPr>
                <w:rFonts w:ascii="Calibri" w:eastAsia="Times New Roman" w:hAnsi="Calibri" w:cs="Times New Roman"/>
                <w:color w:val="000000"/>
              </w:rPr>
              <w:t>инантна</w:t>
            </w:r>
            <w:proofErr w:type="spellEnd"/>
            <w:r w:rsidRPr="00B654F2">
              <w:rPr>
                <w:rFonts w:ascii="Calibri" w:eastAsia="Times New Roman" w:hAnsi="Calibri" w:cs="Times New Roman"/>
                <w:color w:val="000000"/>
              </w:rPr>
              <w:t xml:space="preserve"> </w:t>
            </w:r>
            <w:proofErr w:type="spellStart"/>
            <w:r w:rsidRPr="00B654F2">
              <w:rPr>
                <w:rFonts w:ascii="Calibri" w:eastAsia="Times New Roman" w:hAnsi="Calibri" w:cs="Times New Roman"/>
                <w:color w:val="000000"/>
              </w:rPr>
              <w:t>пазарна</w:t>
            </w:r>
            <w:proofErr w:type="spellEnd"/>
            <w:r w:rsidRPr="00B654F2">
              <w:rPr>
                <w:rFonts w:ascii="Calibri" w:eastAsia="Times New Roman" w:hAnsi="Calibri" w:cs="Times New Roman"/>
                <w:color w:val="000000"/>
              </w:rPr>
              <w:t xml:space="preserve"> </w:t>
            </w:r>
            <w:proofErr w:type="spellStart"/>
            <w:r w:rsidRPr="00B654F2">
              <w:rPr>
                <w:rFonts w:ascii="Calibri" w:eastAsia="Times New Roman" w:hAnsi="Calibri" w:cs="Times New Roman"/>
                <w:color w:val="000000"/>
              </w:rPr>
              <w:t>позиција</w:t>
            </w:r>
            <w:proofErr w:type="spellEnd"/>
          </w:p>
        </w:tc>
        <w:tc>
          <w:tcPr>
            <w:tcW w:w="1339" w:type="dxa"/>
            <w:tcBorders>
              <w:top w:val="nil"/>
              <w:left w:val="nil"/>
              <w:bottom w:val="single" w:sz="4" w:space="0" w:color="auto"/>
              <w:right w:val="single" w:sz="4" w:space="0" w:color="auto"/>
            </w:tcBorders>
            <w:shd w:val="clear" w:color="auto" w:fill="auto"/>
            <w:noWrap/>
            <w:vAlign w:val="bottom"/>
            <w:hideMark/>
          </w:tcPr>
          <w:p w:rsidR="00B654F2" w:rsidRPr="00B654F2" w:rsidRDefault="00B654F2" w:rsidP="006238AF">
            <w:pPr>
              <w:spacing w:after="0" w:line="240" w:lineRule="auto"/>
              <w:jc w:val="center"/>
              <w:rPr>
                <w:rFonts w:ascii="Calibri" w:eastAsia="Times New Roman" w:hAnsi="Calibri" w:cs="Times New Roman"/>
                <w:color w:val="000000"/>
              </w:rPr>
            </w:pPr>
            <w:r w:rsidRPr="00B654F2">
              <w:rPr>
                <w:rFonts w:ascii="Calibri" w:eastAsia="Times New Roman" w:hAnsi="Calibri" w:cs="Times New Roman"/>
                <w:color w:val="000000"/>
              </w:rPr>
              <w:t>116,412</w:t>
            </w:r>
          </w:p>
        </w:tc>
        <w:tc>
          <w:tcPr>
            <w:tcW w:w="1201" w:type="dxa"/>
            <w:tcBorders>
              <w:top w:val="nil"/>
              <w:left w:val="nil"/>
              <w:bottom w:val="single" w:sz="4" w:space="0" w:color="auto"/>
              <w:right w:val="single" w:sz="4" w:space="0" w:color="auto"/>
            </w:tcBorders>
            <w:shd w:val="clear" w:color="auto" w:fill="auto"/>
            <w:noWrap/>
            <w:vAlign w:val="bottom"/>
            <w:hideMark/>
          </w:tcPr>
          <w:p w:rsidR="00B654F2" w:rsidRPr="00B654F2" w:rsidRDefault="00B654F2" w:rsidP="0097536F">
            <w:pPr>
              <w:spacing w:after="0" w:line="240" w:lineRule="auto"/>
              <w:jc w:val="right"/>
              <w:rPr>
                <w:rFonts w:ascii="Calibri" w:eastAsia="Times New Roman" w:hAnsi="Calibri" w:cs="Times New Roman"/>
                <w:color w:val="000000"/>
                <w:lang w:val="mk-MK"/>
              </w:rPr>
            </w:pPr>
            <w:r w:rsidRPr="00B654F2">
              <w:rPr>
                <w:rFonts w:ascii="Calibri" w:eastAsia="Times New Roman" w:hAnsi="Calibri" w:cs="Times New Roman"/>
                <w:color w:val="000000"/>
              </w:rPr>
              <w:t>10.2</w:t>
            </w:r>
            <w:r w:rsidR="0097536F">
              <w:rPr>
                <w:rFonts w:ascii="Calibri" w:eastAsia="Times New Roman" w:hAnsi="Calibri" w:cs="Times New Roman"/>
                <w:color w:val="000000"/>
                <w:lang w:val="mk-MK"/>
              </w:rPr>
              <w:t>%</w:t>
            </w:r>
          </w:p>
        </w:tc>
      </w:tr>
      <w:tr w:rsidR="00B654F2" w:rsidRPr="00B654F2" w:rsidTr="006238AF">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654F2" w:rsidRPr="00B654F2" w:rsidRDefault="00B654F2" w:rsidP="00B654F2">
            <w:pPr>
              <w:spacing w:after="0" w:line="240" w:lineRule="auto"/>
              <w:rPr>
                <w:rFonts w:ascii="Calibri" w:eastAsia="Times New Roman" w:hAnsi="Calibri" w:cs="Times New Roman"/>
                <w:color w:val="000000"/>
              </w:rPr>
            </w:pPr>
            <w:proofErr w:type="spellStart"/>
            <w:r w:rsidRPr="00B654F2">
              <w:rPr>
                <w:rFonts w:ascii="Calibri" w:eastAsia="Times New Roman" w:hAnsi="Calibri" w:cs="Times New Roman"/>
                <w:color w:val="000000"/>
              </w:rPr>
              <w:t>Непријавени</w:t>
            </w:r>
            <w:proofErr w:type="spellEnd"/>
            <w:r w:rsidRPr="00B654F2">
              <w:rPr>
                <w:rFonts w:ascii="Calibri" w:eastAsia="Times New Roman" w:hAnsi="Calibri" w:cs="Times New Roman"/>
                <w:color w:val="000000"/>
              </w:rPr>
              <w:t xml:space="preserve"> </w:t>
            </w:r>
            <w:proofErr w:type="spellStart"/>
            <w:r w:rsidRPr="00B654F2">
              <w:rPr>
                <w:rFonts w:ascii="Calibri" w:eastAsia="Times New Roman" w:hAnsi="Calibri" w:cs="Times New Roman"/>
                <w:color w:val="000000"/>
              </w:rPr>
              <w:t>концентрации</w:t>
            </w:r>
            <w:proofErr w:type="spellEnd"/>
          </w:p>
        </w:tc>
        <w:tc>
          <w:tcPr>
            <w:tcW w:w="1339" w:type="dxa"/>
            <w:tcBorders>
              <w:top w:val="nil"/>
              <w:left w:val="nil"/>
              <w:bottom w:val="single" w:sz="4" w:space="0" w:color="auto"/>
              <w:right w:val="single" w:sz="4" w:space="0" w:color="auto"/>
            </w:tcBorders>
            <w:shd w:val="clear" w:color="auto" w:fill="auto"/>
            <w:noWrap/>
            <w:vAlign w:val="bottom"/>
            <w:hideMark/>
          </w:tcPr>
          <w:p w:rsidR="00B654F2" w:rsidRPr="00B654F2" w:rsidRDefault="00B654F2" w:rsidP="006238AF">
            <w:pPr>
              <w:spacing w:after="0" w:line="240" w:lineRule="auto"/>
              <w:jc w:val="center"/>
              <w:rPr>
                <w:rFonts w:ascii="Calibri" w:eastAsia="Times New Roman" w:hAnsi="Calibri" w:cs="Times New Roman"/>
                <w:color w:val="000000"/>
              </w:rPr>
            </w:pPr>
            <w:r w:rsidRPr="00B654F2">
              <w:rPr>
                <w:rFonts w:ascii="Calibri" w:eastAsia="Times New Roman" w:hAnsi="Calibri" w:cs="Times New Roman"/>
                <w:color w:val="000000"/>
              </w:rPr>
              <w:t>1,611</w:t>
            </w:r>
          </w:p>
        </w:tc>
        <w:tc>
          <w:tcPr>
            <w:tcW w:w="1201" w:type="dxa"/>
            <w:tcBorders>
              <w:top w:val="nil"/>
              <w:left w:val="nil"/>
              <w:bottom w:val="single" w:sz="4" w:space="0" w:color="auto"/>
              <w:right w:val="single" w:sz="4" w:space="0" w:color="auto"/>
            </w:tcBorders>
            <w:shd w:val="clear" w:color="auto" w:fill="auto"/>
            <w:noWrap/>
            <w:vAlign w:val="bottom"/>
            <w:hideMark/>
          </w:tcPr>
          <w:p w:rsidR="00B654F2" w:rsidRPr="00B654F2" w:rsidRDefault="0097536F" w:rsidP="0097536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0.14%</w:t>
            </w:r>
          </w:p>
        </w:tc>
      </w:tr>
      <w:tr w:rsidR="00B654F2" w:rsidRPr="00B654F2" w:rsidTr="006238AF">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654F2" w:rsidRPr="00B654F2" w:rsidRDefault="00B654F2" w:rsidP="00B654F2">
            <w:pPr>
              <w:spacing w:after="0" w:line="240" w:lineRule="auto"/>
              <w:rPr>
                <w:rFonts w:ascii="Calibri" w:eastAsia="Times New Roman" w:hAnsi="Calibri" w:cs="Times New Roman"/>
                <w:color w:val="000000"/>
              </w:rPr>
            </w:pPr>
            <w:proofErr w:type="spellStart"/>
            <w:r w:rsidRPr="00B654F2">
              <w:rPr>
                <w:rFonts w:ascii="Calibri" w:eastAsia="Times New Roman" w:hAnsi="Calibri" w:cs="Times New Roman"/>
                <w:color w:val="000000"/>
              </w:rPr>
              <w:t>Недоставување</w:t>
            </w:r>
            <w:proofErr w:type="spellEnd"/>
            <w:r w:rsidRPr="00B654F2">
              <w:rPr>
                <w:rFonts w:ascii="Calibri" w:eastAsia="Times New Roman" w:hAnsi="Calibri" w:cs="Times New Roman"/>
                <w:color w:val="000000"/>
              </w:rPr>
              <w:t xml:space="preserve"> </w:t>
            </w:r>
            <w:proofErr w:type="spellStart"/>
            <w:r w:rsidRPr="00B654F2">
              <w:rPr>
                <w:rFonts w:ascii="Calibri" w:eastAsia="Times New Roman" w:hAnsi="Calibri" w:cs="Times New Roman"/>
                <w:color w:val="000000"/>
              </w:rPr>
              <w:t>на</w:t>
            </w:r>
            <w:proofErr w:type="spellEnd"/>
            <w:r w:rsidRPr="00B654F2">
              <w:rPr>
                <w:rFonts w:ascii="Calibri" w:eastAsia="Times New Roman" w:hAnsi="Calibri" w:cs="Times New Roman"/>
                <w:color w:val="000000"/>
              </w:rPr>
              <w:t xml:space="preserve"> </w:t>
            </w:r>
            <w:proofErr w:type="spellStart"/>
            <w:r w:rsidRPr="00B654F2">
              <w:rPr>
                <w:rFonts w:ascii="Calibri" w:eastAsia="Times New Roman" w:hAnsi="Calibri" w:cs="Times New Roman"/>
                <w:color w:val="000000"/>
              </w:rPr>
              <w:t>податоци</w:t>
            </w:r>
            <w:proofErr w:type="spellEnd"/>
          </w:p>
        </w:tc>
        <w:tc>
          <w:tcPr>
            <w:tcW w:w="1339" w:type="dxa"/>
            <w:tcBorders>
              <w:top w:val="nil"/>
              <w:left w:val="nil"/>
              <w:bottom w:val="single" w:sz="4" w:space="0" w:color="auto"/>
              <w:right w:val="single" w:sz="4" w:space="0" w:color="auto"/>
            </w:tcBorders>
            <w:shd w:val="clear" w:color="auto" w:fill="auto"/>
            <w:noWrap/>
            <w:vAlign w:val="bottom"/>
            <w:hideMark/>
          </w:tcPr>
          <w:p w:rsidR="00B654F2" w:rsidRPr="00B654F2" w:rsidRDefault="00B654F2" w:rsidP="006238AF">
            <w:pPr>
              <w:spacing w:after="0" w:line="240" w:lineRule="auto"/>
              <w:jc w:val="center"/>
              <w:rPr>
                <w:rFonts w:ascii="Calibri" w:eastAsia="Times New Roman" w:hAnsi="Calibri" w:cs="Times New Roman"/>
                <w:color w:val="000000"/>
              </w:rPr>
            </w:pPr>
            <w:r w:rsidRPr="00B654F2">
              <w:rPr>
                <w:rFonts w:ascii="Calibri" w:eastAsia="Times New Roman" w:hAnsi="Calibri" w:cs="Times New Roman"/>
                <w:color w:val="000000"/>
              </w:rPr>
              <w:t>499</w:t>
            </w:r>
          </w:p>
        </w:tc>
        <w:tc>
          <w:tcPr>
            <w:tcW w:w="1201" w:type="dxa"/>
            <w:tcBorders>
              <w:top w:val="nil"/>
              <w:left w:val="nil"/>
              <w:bottom w:val="single" w:sz="4" w:space="0" w:color="auto"/>
              <w:right w:val="single" w:sz="4" w:space="0" w:color="auto"/>
            </w:tcBorders>
            <w:shd w:val="clear" w:color="auto" w:fill="auto"/>
            <w:noWrap/>
            <w:vAlign w:val="bottom"/>
            <w:hideMark/>
          </w:tcPr>
          <w:p w:rsidR="00B654F2" w:rsidRPr="00B654F2" w:rsidRDefault="00B654F2" w:rsidP="0097536F">
            <w:pPr>
              <w:spacing w:after="0" w:line="240" w:lineRule="auto"/>
              <w:jc w:val="right"/>
              <w:rPr>
                <w:rFonts w:ascii="Calibri" w:eastAsia="Times New Roman" w:hAnsi="Calibri" w:cs="Times New Roman"/>
                <w:color w:val="000000"/>
                <w:lang w:val="mk-MK"/>
              </w:rPr>
            </w:pPr>
            <w:r w:rsidRPr="00B654F2">
              <w:rPr>
                <w:rFonts w:ascii="Calibri" w:eastAsia="Times New Roman" w:hAnsi="Calibri" w:cs="Times New Roman"/>
                <w:color w:val="000000"/>
              </w:rPr>
              <w:t>0.04</w:t>
            </w:r>
            <w:r w:rsidR="0097536F">
              <w:rPr>
                <w:rFonts w:ascii="Calibri" w:eastAsia="Times New Roman" w:hAnsi="Calibri" w:cs="Times New Roman"/>
                <w:color w:val="000000"/>
                <w:lang w:val="mk-MK"/>
              </w:rPr>
              <w:t>%</w:t>
            </w:r>
          </w:p>
        </w:tc>
      </w:tr>
      <w:tr w:rsidR="00B654F2" w:rsidRPr="00B654F2" w:rsidTr="006238AF">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654F2" w:rsidRPr="00B654F2" w:rsidRDefault="00B654F2" w:rsidP="00B654F2">
            <w:pPr>
              <w:spacing w:after="0" w:line="240" w:lineRule="auto"/>
              <w:rPr>
                <w:rFonts w:ascii="Calibri" w:eastAsia="Times New Roman" w:hAnsi="Calibri" w:cs="Times New Roman"/>
                <w:b/>
                <w:color w:val="000000"/>
              </w:rPr>
            </w:pPr>
            <w:proofErr w:type="spellStart"/>
            <w:r w:rsidRPr="00B654F2">
              <w:rPr>
                <w:rFonts w:ascii="Calibri" w:eastAsia="Times New Roman" w:hAnsi="Calibri" w:cs="Times New Roman"/>
                <w:b/>
                <w:color w:val="000000"/>
              </w:rPr>
              <w:t>Вкупно</w:t>
            </w:r>
            <w:proofErr w:type="spellEnd"/>
          </w:p>
        </w:tc>
        <w:tc>
          <w:tcPr>
            <w:tcW w:w="1339" w:type="dxa"/>
            <w:tcBorders>
              <w:top w:val="nil"/>
              <w:left w:val="nil"/>
              <w:bottom w:val="single" w:sz="4" w:space="0" w:color="auto"/>
              <w:right w:val="single" w:sz="4" w:space="0" w:color="auto"/>
            </w:tcBorders>
            <w:shd w:val="clear" w:color="auto" w:fill="auto"/>
            <w:noWrap/>
            <w:vAlign w:val="bottom"/>
            <w:hideMark/>
          </w:tcPr>
          <w:p w:rsidR="00B654F2" w:rsidRPr="00B654F2" w:rsidRDefault="00B654F2" w:rsidP="006238AF">
            <w:pPr>
              <w:spacing w:after="0" w:line="240" w:lineRule="auto"/>
              <w:jc w:val="center"/>
              <w:rPr>
                <w:rFonts w:ascii="Calibri" w:eastAsia="Times New Roman" w:hAnsi="Calibri" w:cs="Times New Roman"/>
                <w:b/>
                <w:color w:val="000000"/>
              </w:rPr>
            </w:pPr>
            <w:r w:rsidRPr="00B654F2">
              <w:rPr>
                <w:rFonts w:ascii="Calibri" w:eastAsia="Times New Roman" w:hAnsi="Calibri" w:cs="Times New Roman"/>
                <w:b/>
                <w:color w:val="000000"/>
              </w:rPr>
              <w:t>1,140,465</w:t>
            </w:r>
          </w:p>
        </w:tc>
        <w:tc>
          <w:tcPr>
            <w:tcW w:w="1201" w:type="dxa"/>
            <w:tcBorders>
              <w:top w:val="nil"/>
              <w:left w:val="nil"/>
              <w:bottom w:val="single" w:sz="4" w:space="0" w:color="auto"/>
              <w:right w:val="single" w:sz="4" w:space="0" w:color="auto"/>
            </w:tcBorders>
            <w:shd w:val="clear" w:color="auto" w:fill="auto"/>
            <w:noWrap/>
            <w:vAlign w:val="bottom"/>
            <w:hideMark/>
          </w:tcPr>
          <w:p w:rsidR="00B654F2" w:rsidRPr="00B654F2" w:rsidRDefault="00B654F2" w:rsidP="00B654F2">
            <w:pPr>
              <w:spacing w:after="0" w:line="240" w:lineRule="auto"/>
              <w:jc w:val="right"/>
              <w:rPr>
                <w:rFonts w:ascii="Calibri" w:eastAsia="Times New Roman" w:hAnsi="Calibri" w:cs="Times New Roman"/>
                <w:b/>
                <w:color w:val="000000"/>
              </w:rPr>
            </w:pPr>
            <w:r w:rsidRPr="00B654F2">
              <w:rPr>
                <w:rFonts w:ascii="Calibri" w:eastAsia="Times New Roman" w:hAnsi="Calibri" w:cs="Times New Roman"/>
                <w:b/>
                <w:color w:val="000000"/>
              </w:rPr>
              <w:t>100</w:t>
            </w:r>
          </w:p>
        </w:tc>
      </w:tr>
    </w:tbl>
    <w:p w:rsidR="00B83803" w:rsidRPr="006238AF" w:rsidRDefault="006238AF" w:rsidP="006238AF">
      <w:pPr>
        <w:jc w:val="center"/>
        <w:rPr>
          <w:rFonts w:ascii="Times New Roman" w:hAnsi="Times New Roman" w:cs="Times New Roman"/>
          <w:sz w:val="20"/>
          <w:szCs w:val="20"/>
          <w:lang w:val="mk-MK"/>
        </w:rPr>
      </w:pPr>
      <w:r w:rsidRPr="006238AF">
        <w:rPr>
          <w:rFonts w:ascii="Times New Roman" w:hAnsi="Times New Roman" w:cs="Times New Roman"/>
          <w:sz w:val="20"/>
          <w:szCs w:val="20"/>
          <w:lang w:val="mk-MK"/>
        </w:rPr>
        <w:t xml:space="preserve">Извор: </w:t>
      </w:r>
      <w:r w:rsidR="00AA23AE">
        <w:rPr>
          <w:rFonts w:ascii="Times New Roman" w:hAnsi="Times New Roman" w:cs="Times New Roman"/>
          <w:sz w:val="20"/>
          <w:szCs w:val="20"/>
          <w:lang w:val="mk-MK"/>
        </w:rPr>
        <w:t>Пресметки според податоци од г</w:t>
      </w:r>
      <w:r w:rsidRPr="006238AF">
        <w:rPr>
          <w:rFonts w:ascii="Times New Roman" w:hAnsi="Times New Roman" w:cs="Times New Roman"/>
          <w:sz w:val="20"/>
          <w:szCs w:val="20"/>
          <w:lang w:val="mk-MK"/>
        </w:rPr>
        <w:t>одишни извештаи за работата на КЗК од 2010 до 2018 година</w:t>
      </w:r>
    </w:p>
    <w:p w:rsidR="002D698E" w:rsidRPr="00157248" w:rsidRDefault="00157248" w:rsidP="002D698E">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Поактивниот пристап кон разоткривањето на </w:t>
      </w:r>
      <w:proofErr w:type="spellStart"/>
      <w:r>
        <w:rPr>
          <w:rFonts w:ascii="Times New Roman" w:hAnsi="Times New Roman" w:cs="Times New Roman"/>
          <w:sz w:val="24"/>
          <w:szCs w:val="24"/>
          <w:lang w:val="mk-MK"/>
        </w:rPr>
        <w:t>картлески</w:t>
      </w:r>
      <w:proofErr w:type="spellEnd"/>
      <w:r>
        <w:rPr>
          <w:rFonts w:ascii="Times New Roman" w:hAnsi="Times New Roman" w:cs="Times New Roman"/>
          <w:sz w:val="24"/>
          <w:szCs w:val="24"/>
          <w:lang w:val="mk-MK"/>
        </w:rPr>
        <w:t xml:space="preserve"> договори од 2014 година </w:t>
      </w:r>
      <w:r w:rsidR="00866D2E">
        <w:rPr>
          <w:rFonts w:ascii="Times New Roman" w:hAnsi="Times New Roman" w:cs="Times New Roman"/>
          <w:sz w:val="24"/>
          <w:szCs w:val="24"/>
          <w:lang w:val="mk-MK"/>
        </w:rPr>
        <w:t xml:space="preserve"> </w:t>
      </w:r>
      <w:r>
        <w:rPr>
          <w:rFonts w:ascii="Times New Roman" w:hAnsi="Times New Roman" w:cs="Times New Roman"/>
          <w:sz w:val="24"/>
          <w:szCs w:val="24"/>
          <w:lang w:val="mk-MK"/>
        </w:rPr>
        <w:t>ре</w:t>
      </w:r>
      <w:r w:rsidR="008F3B62">
        <w:rPr>
          <w:rFonts w:ascii="Times New Roman" w:hAnsi="Times New Roman" w:cs="Times New Roman"/>
          <w:sz w:val="24"/>
          <w:szCs w:val="24"/>
          <w:lang w:val="mk-MK"/>
        </w:rPr>
        <w:t xml:space="preserve">зултираше </w:t>
      </w:r>
      <w:r>
        <w:rPr>
          <w:rFonts w:ascii="Times New Roman" w:hAnsi="Times New Roman" w:cs="Times New Roman"/>
          <w:sz w:val="24"/>
          <w:szCs w:val="24"/>
          <w:lang w:val="mk-MK"/>
        </w:rPr>
        <w:t>во утврдување на повисоки парични казни за овој вид на прекршоци.</w:t>
      </w:r>
      <w:r w:rsidR="00866D2E">
        <w:rPr>
          <w:rFonts w:ascii="Times New Roman" w:hAnsi="Times New Roman" w:cs="Times New Roman"/>
          <w:sz w:val="24"/>
          <w:szCs w:val="24"/>
          <w:lang w:val="mk-MK"/>
        </w:rPr>
        <w:t xml:space="preserve"> Сумите се поголеми бидејќи </w:t>
      </w:r>
      <w:proofErr w:type="spellStart"/>
      <w:r w:rsidR="00866D2E">
        <w:rPr>
          <w:rFonts w:ascii="Times New Roman" w:hAnsi="Times New Roman" w:cs="Times New Roman"/>
          <w:sz w:val="24"/>
          <w:szCs w:val="24"/>
          <w:lang w:val="mk-MK"/>
        </w:rPr>
        <w:t>детектрианите</w:t>
      </w:r>
      <w:proofErr w:type="spellEnd"/>
      <w:r w:rsidR="00866D2E">
        <w:rPr>
          <w:rFonts w:ascii="Times New Roman" w:hAnsi="Times New Roman" w:cs="Times New Roman"/>
          <w:sz w:val="24"/>
          <w:szCs w:val="24"/>
          <w:lang w:val="mk-MK"/>
        </w:rPr>
        <w:t xml:space="preserve"> прекршувања на ЗЗК беа во индустрии кои ги карактеризира голем обем на реализиран промет (фармацевтската индустрија, трговијата со електрична енергија и сл.) </w:t>
      </w:r>
    </w:p>
    <w:p w:rsidR="006238AF" w:rsidRPr="00AA23AE" w:rsidRDefault="008F3B62" w:rsidP="00AA23AE">
      <w:pPr>
        <w:jc w:val="center"/>
        <w:rPr>
          <w:rFonts w:ascii="Times New Roman" w:hAnsi="Times New Roman" w:cs="Times New Roman"/>
          <w:b/>
          <w:sz w:val="24"/>
          <w:szCs w:val="24"/>
          <w:lang w:val="mk-MK"/>
        </w:rPr>
      </w:pPr>
      <w:r>
        <w:rPr>
          <w:rFonts w:ascii="Times New Roman" w:hAnsi="Times New Roman" w:cs="Times New Roman"/>
          <w:b/>
          <w:sz w:val="24"/>
          <w:szCs w:val="24"/>
          <w:lang w:val="mk-MK"/>
        </w:rPr>
        <w:lastRenderedPageBreak/>
        <w:t>Графикон 4:</w:t>
      </w:r>
      <w:r w:rsidR="00AA23AE" w:rsidRPr="00AA23AE">
        <w:rPr>
          <w:rFonts w:ascii="Times New Roman" w:hAnsi="Times New Roman" w:cs="Times New Roman"/>
          <w:b/>
          <w:sz w:val="24"/>
          <w:szCs w:val="24"/>
          <w:lang w:val="mk-MK"/>
        </w:rPr>
        <w:t xml:space="preserve"> Преглед движење на изречените парични казни</w:t>
      </w:r>
      <w:r w:rsidR="00AA23AE">
        <w:rPr>
          <w:rFonts w:ascii="Times New Roman" w:hAnsi="Times New Roman" w:cs="Times New Roman"/>
          <w:b/>
          <w:sz w:val="24"/>
          <w:szCs w:val="24"/>
          <w:lang w:val="mk-MK"/>
        </w:rPr>
        <w:t>, по вид на прекршок,</w:t>
      </w:r>
      <w:r w:rsidR="00AA23AE" w:rsidRPr="00AA23AE">
        <w:rPr>
          <w:rFonts w:ascii="Times New Roman" w:hAnsi="Times New Roman" w:cs="Times New Roman"/>
          <w:b/>
          <w:sz w:val="24"/>
          <w:szCs w:val="24"/>
          <w:lang w:val="mk-MK"/>
        </w:rPr>
        <w:t xml:space="preserve"> во периодот 2010-2018 година</w:t>
      </w:r>
      <w:r w:rsidR="00E37CCA">
        <w:rPr>
          <w:rFonts w:ascii="Times New Roman" w:hAnsi="Times New Roman" w:cs="Times New Roman"/>
          <w:b/>
          <w:sz w:val="24"/>
          <w:szCs w:val="24"/>
          <w:lang w:val="mk-MK"/>
        </w:rPr>
        <w:t xml:space="preserve"> во денари</w:t>
      </w:r>
    </w:p>
    <w:p w:rsidR="00AA23AE" w:rsidRDefault="00AA23AE" w:rsidP="00AA23AE">
      <w:pPr>
        <w:jc w:val="center"/>
        <w:rPr>
          <w:rFonts w:ascii="Times New Roman" w:hAnsi="Times New Roman" w:cs="Times New Roman"/>
          <w:sz w:val="24"/>
          <w:szCs w:val="24"/>
          <w:lang w:val="mk-MK"/>
        </w:rPr>
      </w:pPr>
      <w:r>
        <w:rPr>
          <w:noProof/>
        </w:rPr>
        <w:drawing>
          <wp:inline distT="0" distB="0" distL="0" distR="0" wp14:anchorId="360871B0" wp14:editId="75A24DB2">
            <wp:extent cx="4572000" cy="2500312"/>
            <wp:effectExtent l="0" t="0" r="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0B6C" w:rsidRPr="006238AF" w:rsidRDefault="00AA23AE" w:rsidP="00F50B6C">
      <w:pPr>
        <w:jc w:val="center"/>
        <w:rPr>
          <w:rFonts w:ascii="Times New Roman" w:hAnsi="Times New Roman" w:cs="Times New Roman"/>
          <w:sz w:val="20"/>
          <w:szCs w:val="20"/>
          <w:lang w:val="mk-MK"/>
        </w:rPr>
      </w:pPr>
      <w:r w:rsidRPr="006238AF">
        <w:rPr>
          <w:rFonts w:ascii="Times New Roman" w:hAnsi="Times New Roman" w:cs="Times New Roman"/>
          <w:sz w:val="20"/>
          <w:szCs w:val="20"/>
          <w:lang w:val="mk-MK"/>
        </w:rPr>
        <w:t xml:space="preserve">Извор: </w:t>
      </w:r>
      <w:r w:rsidR="00F50B6C">
        <w:rPr>
          <w:rFonts w:ascii="Times New Roman" w:hAnsi="Times New Roman" w:cs="Times New Roman"/>
          <w:sz w:val="20"/>
          <w:szCs w:val="20"/>
          <w:lang w:val="mk-MK"/>
        </w:rPr>
        <w:t>Пресметки според податоци од г</w:t>
      </w:r>
      <w:r w:rsidR="00F50B6C" w:rsidRPr="006238AF">
        <w:rPr>
          <w:rFonts w:ascii="Times New Roman" w:hAnsi="Times New Roman" w:cs="Times New Roman"/>
          <w:sz w:val="20"/>
          <w:szCs w:val="20"/>
          <w:lang w:val="mk-MK"/>
        </w:rPr>
        <w:t>одишни извештаи за работата на КЗК од 2010 до 2018 година</w:t>
      </w:r>
    </w:p>
    <w:p w:rsidR="00683C0A" w:rsidRPr="00B654F2" w:rsidRDefault="00683C0A" w:rsidP="00683C0A">
      <w:pPr>
        <w:jc w:val="both"/>
        <w:rPr>
          <w:rFonts w:ascii="Times New Roman" w:hAnsi="Times New Roman" w:cs="Times New Roman"/>
          <w:b/>
          <w:sz w:val="24"/>
          <w:szCs w:val="24"/>
          <w:lang w:val="mk-MK"/>
        </w:rPr>
      </w:pPr>
      <w:r>
        <w:rPr>
          <w:rFonts w:ascii="Times New Roman" w:hAnsi="Times New Roman" w:cs="Times New Roman"/>
          <w:sz w:val="24"/>
          <w:szCs w:val="24"/>
          <w:lang w:val="mk-MK"/>
        </w:rPr>
        <w:t>Според</w:t>
      </w:r>
      <w:r>
        <w:rPr>
          <w:rFonts w:ascii="Times New Roman" w:hAnsi="Times New Roman" w:cs="Times New Roman"/>
          <w:sz w:val="24"/>
          <w:szCs w:val="24"/>
        </w:rPr>
        <w:t xml:space="preserve"> World Bank (2017)</w:t>
      </w:r>
      <w:r>
        <w:rPr>
          <w:rFonts w:ascii="Times New Roman" w:hAnsi="Times New Roman" w:cs="Times New Roman"/>
          <w:sz w:val="24"/>
          <w:szCs w:val="24"/>
          <w:lang w:val="mk-MK"/>
        </w:rPr>
        <w:t xml:space="preserve">, Република Северна Македонија во однос на останатите земји од Западен Балкан, има изречено  највисоки парични казни во однос на откривањето и докажувањето на </w:t>
      </w:r>
      <w:proofErr w:type="spellStart"/>
      <w:r>
        <w:rPr>
          <w:rFonts w:ascii="Times New Roman" w:hAnsi="Times New Roman" w:cs="Times New Roman"/>
          <w:sz w:val="24"/>
          <w:szCs w:val="24"/>
          <w:lang w:val="mk-MK"/>
        </w:rPr>
        <w:t>картелските</w:t>
      </w:r>
      <w:proofErr w:type="spellEnd"/>
      <w:r>
        <w:rPr>
          <w:rFonts w:ascii="Times New Roman" w:hAnsi="Times New Roman" w:cs="Times New Roman"/>
          <w:sz w:val="24"/>
          <w:szCs w:val="24"/>
          <w:lang w:val="mk-MK"/>
        </w:rPr>
        <w:t xml:space="preserve"> договори и за злоупотребите на доминантната позиција на фирмите на пазарите. </w:t>
      </w:r>
    </w:p>
    <w:p w:rsidR="00097FD3" w:rsidRDefault="00097FD3" w:rsidP="00C00B56">
      <w:pPr>
        <w:jc w:val="both"/>
        <w:rPr>
          <w:rFonts w:ascii="Times New Roman" w:hAnsi="Times New Roman" w:cs="Times New Roman"/>
          <w:sz w:val="24"/>
          <w:szCs w:val="24"/>
          <w:lang w:val="mk-MK"/>
        </w:rPr>
      </w:pPr>
      <w:r>
        <w:rPr>
          <w:rFonts w:ascii="Times New Roman" w:hAnsi="Times New Roman" w:cs="Times New Roman"/>
          <w:sz w:val="24"/>
          <w:szCs w:val="24"/>
          <w:lang w:val="mk-MK"/>
        </w:rPr>
        <w:t>Споредбата на износот на изречените казни за прекршување на одредбите од законот за заштита на конкуренцијата укажува дека комисијата преку своите надлежности во доменот на спроведувањето на политиката за заштита на конкуренцијата би можела да креира значајни финансиски користи за централниот буџет на владата</w:t>
      </w:r>
      <w:r w:rsidR="00E65F38">
        <w:rPr>
          <w:rFonts w:ascii="Times New Roman" w:hAnsi="Times New Roman" w:cs="Times New Roman"/>
          <w:sz w:val="24"/>
          <w:szCs w:val="24"/>
          <w:lang w:val="mk-MK"/>
        </w:rPr>
        <w:t xml:space="preserve"> </w:t>
      </w:r>
      <w:r w:rsidR="00E65F38" w:rsidRPr="003356AC">
        <w:rPr>
          <w:rFonts w:ascii="Times New Roman" w:hAnsi="Times New Roman" w:cs="Times New Roman"/>
          <w:sz w:val="24"/>
          <w:szCs w:val="24"/>
          <w:lang w:val="mk-MK"/>
        </w:rPr>
        <w:t>(</w:t>
      </w:r>
      <w:r w:rsidR="003356AC">
        <w:rPr>
          <w:rFonts w:ascii="Times New Roman" w:hAnsi="Times New Roman" w:cs="Times New Roman"/>
          <w:sz w:val="24"/>
          <w:szCs w:val="24"/>
          <w:lang w:val="mk-MK"/>
        </w:rPr>
        <w:t xml:space="preserve"> види табела 4</w:t>
      </w:r>
      <w:r w:rsidR="00E65F38" w:rsidRPr="003356AC">
        <w:rPr>
          <w:rFonts w:ascii="Times New Roman" w:hAnsi="Times New Roman" w:cs="Times New Roman"/>
          <w:sz w:val="24"/>
          <w:szCs w:val="24"/>
          <w:lang w:val="mk-MK"/>
        </w:rPr>
        <w:t>)</w:t>
      </w:r>
      <w:r>
        <w:rPr>
          <w:rFonts w:ascii="Times New Roman" w:hAnsi="Times New Roman" w:cs="Times New Roman"/>
          <w:sz w:val="24"/>
          <w:szCs w:val="24"/>
          <w:lang w:val="mk-MK"/>
        </w:rPr>
        <w:t xml:space="preserve"> Меѓутоа, заради отсуството на ажурна евиденција во однос на </w:t>
      </w:r>
      <w:r w:rsidR="003356AC">
        <w:rPr>
          <w:rFonts w:ascii="Times New Roman" w:hAnsi="Times New Roman" w:cs="Times New Roman"/>
          <w:sz w:val="24"/>
          <w:szCs w:val="24"/>
        </w:rPr>
        <w:t>de facto</w:t>
      </w:r>
      <w:r>
        <w:rPr>
          <w:rFonts w:ascii="Times New Roman" w:hAnsi="Times New Roman" w:cs="Times New Roman"/>
          <w:sz w:val="24"/>
          <w:szCs w:val="24"/>
          <w:lang w:val="mk-MK"/>
        </w:rPr>
        <w:t xml:space="preserve"> наплатените </w:t>
      </w:r>
      <w:r w:rsidR="003356AC">
        <w:rPr>
          <w:rFonts w:ascii="Times New Roman" w:hAnsi="Times New Roman" w:cs="Times New Roman"/>
          <w:sz w:val="24"/>
          <w:szCs w:val="24"/>
          <w:lang w:val="mk-MK"/>
        </w:rPr>
        <w:t xml:space="preserve">парични </w:t>
      </w:r>
      <w:r>
        <w:rPr>
          <w:rFonts w:ascii="Times New Roman" w:hAnsi="Times New Roman" w:cs="Times New Roman"/>
          <w:sz w:val="24"/>
          <w:szCs w:val="24"/>
          <w:lang w:val="mk-MK"/>
        </w:rPr>
        <w:t>казни, комисијата не е во состојба реално да г</w:t>
      </w:r>
      <w:r w:rsidR="00A47D52">
        <w:rPr>
          <w:rFonts w:ascii="Times New Roman" w:hAnsi="Times New Roman" w:cs="Times New Roman"/>
          <w:sz w:val="24"/>
          <w:szCs w:val="24"/>
        </w:rPr>
        <w:t>o</w:t>
      </w:r>
      <w:r>
        <w:rPr>
          <w:rFonts w:ascii="Times New Roman" w:hAnsi="Times New Roman" w:cs="Times New Roman"/>
          <w:sz w:val="24"/>
          <w:szCs w:val="24"/>
          <w:lang w:val="mk-MK"/>
        </w:rPr>
        <w:t xml:space="preserve"> оцени нејзиниот финансиски импакт врз креирањето на буџетските приходи.</w:t>
      </w:r>
    </w:p>
    <w:p w:rsidR="00AA23AE" w:rsidRPr="005C6E10" w:rsidRDefault="00A47D52" w:rsidP="00C00B56">
      <w:pPr>
        <w:jc w:val="both"/>
        <w:rPr>
          <w:rFonts w:ascii="Times New Roman" w:hAnsi="Times New Roman" w:cs="Times New Roman"/>
          <w:b/>
          <w:sz w:val="24"/>
          <w:szCs w:val="24"/>
          <w:lang w:val="mk-MK"/>
        </w:rPr>
      </w:pPr>
      <w:r>
        <w:rPr>
          <w:rFonts w:ascii="Times New Roman" w:hAnsi="Times New Roman" w:cs="Times New Roman"/>
          <w:b/>
          <w:sz w:val="24"/>
          <w:szCs w:val="24"/>
          <w:lang w:val="mk-MK"/>
        </w:rPr>
        <w:t>Табела 4:</w:t>
      </w:r>
      <w:r w:rsidR="002130B6" w:rsidRPr="005C6E10">
        <w:rPr>
          <w:rFonts w:ascii="Times New Roman" w:hAnsi="Times New Roman" w:cs="Times New Roman"/>
          <w:b/>
          <w:sz w:val="24"/>
          <w:szCs w:val="24"/>
          <w:lang w:val="mk-MK"/>
        </w:rPr>
        <w:t xml:space="preserve"> Споредба на големината на буџетот на КЗК со изрече</w:t>
      </w:r>
      <w:r w:rsidR="005C6E10" w:rsidRPr="005C6E10">
        <w:rPr>
          <w:rFonts w:ascii="Times New Roman" w:hAnsi="Times New Roman" w:cs="Times New Roman"/>
          <w:b/>
          <w:sz w:val="24"/>
          <w:szCs w:val="24"/>
          <w:lang w:val="mk-MK"/>
        </w:rPr>
        <w:t xml:space="preserve">ните парични казни во периодот од </w:t>
      </w:r>
      <w:r w:rsidR="002130B6" w:rsidRPr="005C6E10">
        <w:rPr>
          <w:rFonts w:ascii="Times New Roman" w:hAnsi="Times New Roman" w:cs="Times New Roman"/>
          <w:b/>
          <w:sz w:val="24"/>
          <w:szCs w:val="24"/>
          <w:lang w:val="mk-MK"/>
        </w:rPr>
        <w:t>2010 д</w:t>
      </w:r>
      <w:r w:rsidR="005C6E10" w:rsidRPr="005C6E10">
        <w:rPr>
          <w:rFonts w:ascii="Times New Roman" w:hAnsi="Times New Roman" w:cs="Times New Roman"/>
          <w:b/>
          <w:sz w:val="24"/>
          <w:szCs w:val="24"/>
          <w:lang w:val="mk-MK"/>
        </w:rPr>
        <w:t xml:space="preserve">о 2018 година </w:t>
      </w:r>
      <w:r w:rsidR="005C6E10" w:rsidRPr="005C6E10">
        <w:rPr>
          <w:rFonts w:ascii="Times New Roman" w:hAnsi="Times New Roman" w:cs="Times New Roman"/>
          <w:b/>
          <w:sz w:val="24"/>
          <w:szCs w:val="24"/>
          <w:lang w:val="mk-MK"/>
        </w:rPr>
        <w:tab/>
      </w:r>
      <w:r w:rsidR="005C6E10" w:rsidRPr="005C6E10">
        <w:rPr>
          <w:rFonts w:ascii="Times New Roman" w:hAnsi="Times New Roman" w:cs="Times New Roman"/>
          <w:b/>
          <w:sz w:val="24"/>
          <w:szCs w:val="24"/>
          <w:lang w:val="mk-MK"/>
        </w:rPr>
        <w:tab/>
      </w:r>
      <w:r w:rsidR="005C6E10" w:rsidRPr="005C6E10">
        <w:rPr>
          <w:rFonts w:ascii="Times New Roman" w:hAnsi="Times New Roman" w:cs="Times New Roman"/>
          <w:b/>
          <w:sz w:val="24"/>
          <w:szCs w:val="24"/>
          <w:lang w:val="mk-MK"/>
        </w:rPr>
        <w:tab/>
      </w:r>
      <w:r w:rsidR="005C6E10" w:rsidRPr="005C6E10">
        <w:rPr>
          <w:rFonts w:ascii="Times New Roman" w:hAnsi="Times New Roman" w:cs="Times New Roman"/>
          <w:b/>
          <w:sz w:val="24"/>
          <w:szCs w:val="24"/>
          <w:lang w:val="mk-MK"/>
        </w:rPr>
        <w:tab/>
      </w:r>
      <w:r w:rsidR="005C6E10" w:rsidRPr="005C6E10">
        <w:rPr>
          <w:rFonts w:ascii="Times New Roman" w:hAnsi="Times New Roman" w:cs="Times New Roman"/>
          <w:b/>
          <w:sz w:val="24"/>
          <w:szCs w:val="24"/>
          <w:lang w:val="mk-MK"/>
        </w:rPr>
        <w:tab/>
        <w:t>(износите се во 000 ден)</w:t>
      </w:r>
    </w:p>
    <w:tbl>
      <w:tblPr>
        <w:tblW w:w="8926" w:type="dxa"/>
        <w:tblLook w:val="04A0" w:firstRow="1" w:lastRow="0" w:firstColumn="1" w:lastColumn="0" w:noHBand="0" w:noVBand="1"/>
      </w:tblPr>
      <w:tblGrid>
        <w:gridCol w:w="3160"/>
        <w:gridCol w:w="1480"/>
        <w:gridCol w:w="1060"/>
        <w:gridCol w:w="1060"/>
        <w:gridCol w:w="986"/>
        <w:gridCol w:w="1180"/>
      </w:tblGrid>
      <w:tr w:rsidR="002130B6" w:rsidRPr="005C6E10" w:rsidTr="005C6E1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130B6" w:rsidRPr="005C6E10" w:rsidRDefault="002130B6" w:rsidP="002130B6">
            <w:pPr>
              <w:spacing w:after="0" w:line="240" w:lineRule="auto"/>
              <w:rPr>
                <w:rFonts w:ascii="Times New Roman" w:eastAsia="Times New Roman" w:hAnsi="Times New Roman" w:cs="Times New Roman"/>
                <w:b/>
                <w:bCs/>
                <w:color w:val="000000"/>
              </w:rPr>
            </w:pPr>
            <w:r w:rsidRPr="005C6E10">
              <w:rPr>
                <w:rFonts w:ascii="Times New Roman" w:eastAsia="Times New Roman" w:hAnsi="Times New Roman" w:cs="Times New Roman"/>
                <w:b/>
                <w:bCs/>
                <w:color w:val="000000"/>
              </w:rPr>
              <w:t>Г</w:t>
            </w:r>
            <w:r w:rsidR="005C6E10">
              <w:rPr>
                <w:rFonts w:ascii="Times New Roman" w:eastAsia="Times New Roman" w:hAnsi="Times New Roman" w:cs="Times New Roman"/>
                <w:b/>
                <w:bCs/>
                <w:color w:val="000000"/>
                <w:lang w:val="mk-MK"/>
              </w:rPr>
              <w:t>о</w:t>
            </w:r>
            <w:proofErr w:type="spellStart"/>
            <w:r w:rsidRPr="005C6E10">
              <w:rPr>
                <w:rFonts w:ascii="Times New Roman" w:eastAsia="Times New Roman" w:hAnsi="Times New Roman" w:cs="Times New Roman"/>
                <w:b/>
                <w:bCs/>
                <w:color w:val="000000"/>
              </w:rPr>
              <w:t>дина</w:t>
            </w:r>
            <w:proofErr w:type="spellEnd"/>
          </w:p>
        </w:tc>
        <w:tc>
          <w:tcPr>
            <w:tcW w:w="14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130B6" w:rsidRPr="005C6E10" w:rsidRDefault="002130B6" w:rsidP="002130B6">
            <w:pPr>
              <w:spacing w:after="0" w:line="240" w:lineRule="auto"/>
              <w:jc w:val="right"/>
              <w:rPr>
                <w:rFonts w:ascii="Times New Roman" w:eastAsia="Times New Roman" w:hAnsi="Times New Roman" w:cs="Times New Roman"/>
                <w:b/>
                <w:bCs/>
                <w:color w:val="000000"/>
              </w:rPr>
            </w:pPr>
            <w:r w:rsidRPr="005C6E10">
              <w:rPr>
                <w:rFonts w:ascii="Times New Roman" w:eastAsia="Times New Roman" w:hAnsi="Times New Roman" w:cs="Times New Roman"/>
                <w:b/>
                <w:bCs/>
                <w:color w:val="000000"/>
              </w:rPr>
              <w:t>2010</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130B6" w:rsidRPr="005C6E10" w:rsidRDefault="002130B6" w:rsidP="002130B6">
            <w:pPr>
              <w:spacing w:after="0" w:line="240" w:lineRule="auto"/>
              <w:jc w:val="right"/>
              <w:rPr>
                <w:rFonts w:ascii="Times New Roman" w:eastAsia="Times New Roman" w:hAnsi="Times New Roman" w:cs="Times New Roman"/>
                <w:b/>
                <w:bCs/>
                <w:color w:val="000000"/>
              </w:rPr>
            </w:pPr>
            <w:r w:rsidRPr="005C6E10">
              <w:rPr>
                <w:rFonts w:ascii="Times New Roman" w:eastAsia="Times New Roman" w:hAnsi="Times New Roman" w:cs="Times New Roman"/>
                <w:b/>
                <w:bCs/>
                <w:color w:val="000000"/>
              </w:rPr>
              <w:t>2011</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130B6" w:rsidRPr="005C6E10" w:rsidRDefault="002130B6" w:rsidP="002130B6">
            <w:pPr>
              <w:spacing w:after="0" w:line="240" w:lineRule="auto"/>
              <w:jc w:val="right"/>
              <w:rPr>
                <w:rFonts w:ascii="Times New Roman" w:eastAsia="Times New Roman" w:hAnsi="Times New Roman" w:cs="Times New Roman"/>
                <w:b/>
                <w:bCs/>
                <w:color w:val="000000"/>
              </w:rPr>
            </w:pPr>
            <w:r w:rsidRPr="005C6E10">
              <w:rPr>
                <w:rFonts w:ascii="Times New Roman" w:eastAsia="Times New Roman" w:hAnsi="Times New Roman" w:cs="Times New Roman"/>
                <w:b/>
                <w:bCs/>
                <w:color w:val="000000"/>
              </w:rPr>
              <w:t>2012</w:t>
            </w:r>
          </w:p>
        </w:tc>
        <w:tc>
          <w:tcPr>
            <w:tcW w:w="98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130B6" w:rsidRPr="005C6E10" w:rsidRDefault="002130B6" w:rsidP="002130B6">
            <w:pPr>
              <w:spacing w:after="0" w:line="240" w:lineRule="auto"/>
              <w:jc w:val="right"/>
              <w:rPr>
                <w:rFonts w:ascii="Times New Roman" w:eastAsia="Times New Roman" w:hAnsi="Times New Roman" w:cs="Times New Roman"/>
                <w:b/>
                <w:bCs/>
                <w:color w:val="000000"/>
              </w:rPr>
            </w:pPr>
            <w:r w:rsidRPr="005C6E10">
              <w:rPr>
                <w:rFonts w:ascii="Times New Roman" w:eastAsia="Times New Roman" w:hAnsi="Times New Roman" w:cs="Times New Roman"/>
                <w:b/>
                <w:bCs/>
                <w:color w:val="000000"/>
              </w:rPr>
              <w:t>2013</w:t>
            </w:r>
          </w:p>
        </w:tc>
        <w:tc>
          <w:tcPr>
            <w:tcW w:w="11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130B6" w:rsidRPr="005C6E10" w:rsidRDefault="002130B6" w:rsidP="002130B6">
            <w:pPr>
              <w:spacing w:after="0" w:line="240" w:lineRule="auto"/>
              <w:jc w:val="right"/>
              <w:rPr>
                <w:rFonts w:ascii="Times New Roman" w:eastAsia="Times New Roman" w:hAnsi="Times New Roman" w:cs="Times New Roman"/>
                <w:b/>
                <w:bCs/>
                <w:color w:val="000000"/>
              </w:rPr>
            </w:pPr>
            <w:r w:rsidRPr="005C6E10">
              <w:rPr>
                <w:rFonts w:ascii="Times New Roman" w:eastAsia="Times New Roman" w:hAnsi="Times New Roman" w:cs="Times New Roman"/>
                <w:b/>
                <w:bCs/>
                <w:color w:val="000000"/>
              </w:rPr>
              <w:t>2014</w:t>
            </w:r>
          </w:p>
        </w:tc>
      </w:tr>
      <w:tr w:rsidR="002130B6" w:rsidRPr="005C6E10" w:rsidTr="005C6E1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rPr>
                <w:rFonts w:ascii="Times New Roman" w:eastAsia="Times New Roman" w:hAnsi="Times New Roman" w:cs="Times New Roman"/>
                <w:i/>
                <w:color w:val="000000"/>
              </w:rPr>
            </w:pPr>
            <w:r w:rsidRPr="005C6E10">
              <w:rPr>
                <w:rFonts w:ascii="Times New Roman" w:eastAsia="Times New Roman" w:hAnsi="Times New Roman" w:cs="Times New Roman"/>
                <w:i/>
                <w:color w:val="000000"/>
              </w:rPr>
              <w:t xml:space="preserve">1.Буџет </w:t>
            </w:r>
            <w:proofErr w:type="spellStart"/>
            <w:r w:rsidRPr="005C6E10">
              <w:rPr>
                <w:rFonts w:ascii="Times New Roman" w:eastAsia="Times New Roman" w:hAnsi="Times New Roman" w:cs="Times New Roman"/>
                <w:i/>
                <w:color w:val="000000"/>
              </w:rPr>
              <w:t>на</w:t>
            </w:r>
            <w:proofErr w:type="spellEnd"/>
            <w:r w:rsidRPr="005C6E10">
              <w:rPr>
                <w:rFonts w:ascii="Times New Roman" w:eastAsia="Times New Roman" w:hAnsi="Times New Roman" w:cs="Times New Roman"/>
                <w:i/>
                <w:color w:val="000000"/>
              </w:rPr>
              <w:t xml:space="preserve"> КЗК </w:t>
            </w:r>
          </w:p>
        </w:tc>
        <w:tc>
          <w:tcPr>
            <w:tcW w:w="148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23,710</w:t>
            </w:r>
          </w:p>
        </w:tc>
        <w:tc>
          <w:tcPr>
            <w:tcW w:w="106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16,473</w:t>
            </w:r>
          </w:p>
        </w:tc>
        <w:tc>
          <w:tcPr>
            <w:tcW w:w="106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17,615</w:t>
            </w:r>
          </w:p>
        </w:tc>
        <w:tc>
          <w:tcPr>
            <w:tcW w:w="986"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18,761</w:t>
            </w:r>
          </w:p>
        </w:tc>
        <w:tc>
          <w:tcPr>
            <w:tcW w:w="118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16,933</w:t>
            </w:r>
          </w:p>
        </w:tc>
      </w:tr>
      <w:tr w:rsidR="002130B6" w:rsidRPr="005C6E10" w:rsidTr="005C6E1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rPr>
                <w:rFonts w:ascii="Times New Roman" w:eastAsia="Times New Roman" w:hAnsi="Times New Roman" w:cs="Times New Roman"/>
                <w:i/>
                <w:color w:val="000000"/>
              </w:rPr>
            </w:pPr>
            <w:r w:rsidRPr="005C6E10">
              <w:rPr>
                <w:rFonts w:ascii="Times New Roman" w:eastAsia="Times New Roman" w:hAnsi="Times New Roman" w:cs="Times New Roman"/>
                <w:i/>
                <w:color w:val="000000"/>
              </w:rPr>
              <w:t xml:space="preserve">2.Вкупно </w:t>
            </w:r>
            <w:proofErr w:type="spellStart"/>
            <w:r w:rsidRPr="005C6E10">
              <w:rPr>
                <w:rFonts w:ascii="Times New Roman" w:eastAsia="Times New Roman" w:hAnsi="Times New Roman" w:cs="Times New Roman"/>
                <w:i/>
                <w:color w:val="000000"/>
              </w:rPr>
              <w:t>изречени</w:t>
            </w:r>
            <w:proofErr w:type="spellEnd"/>
            <w:r w:rsidRPr="005C6E10">
              <w:rPr>
                <w:rFonts w:ascii="Times New Roman" w:eastAsia="Times New Roman" w:hAnsi="Times New Roman" w:cs="Times New Roman"/>
                <w:i/>
                <w:color w:val="000000"/>
              </w:rPr>
              <w:br/>
              <w:t xml:space="preserve"> </w:t>
            </w:r>
            <w:proofErr w:type="spellStart"/>
            <w:r w:rsidRPr="005C6E10">
              <w:rPr>
                <w:rFonts w:ascii="Times New Roman" w:eastAsia="Times New Roman" w:hAnsi="Times New Roman" w:cs="Times New Roman"/>
                <w:i/>
                <w:color w:val="000000"/>
              </w:rPr>
              <w:t>парични</w:t>
            </w:r>
            <w:proofErr w:type="spellEnd"/>
            <w:r w:rsidRPr="005C6E10">
              <w:rPr>
                <w:rFonts w:ascii="Times New Roman" w:eastAsia="Times New Roman" w:hAnsi="Times New Roman" w:cs="Times New Roman"/>
                <w:i/>
                <w:color w:val="000000"/>
              </w:rPr>
              <w:t xml:space="preserve"> </w:t>
            </w:r>
            <w:proofErr w:type="spellStart"/>
            <w:r w:rsidRPr="005C6E10">
              <w:rPr>
                <w:rFonts w:ascii="Times New Roman" w:eastAsia="Times New Roman" w:hAnsi="Times New Roman" w:cs="Times New Roman"/>
                <w:i/>
                <w:color w:val="000000"/>
              </w:rPr>
              <w:t>казни</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49,676</w:t>
            </w:r>
          </w:p>
        </w:tc>
        <w:tc>
          <w:tcPr>
            <w:tcW w:w="106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46,121</w:t>
            </w:r>
          </w:p>
        </w:tc>
        <w:tc>
          <w:tcPr>
            <w:tcW w:w="106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48,319</w:t>
            </w:r>
          </w:p>
        </w:tc>
        <w:tc>
          <w:tcPr>
            <w:tcW w:w="986"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858</w:t>
            </w:r>
          </w:p>
        </w:tc>
        <w:tc>
          <w:tcPr>
            <w:tcW w:w="118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279,275</w:t>
            </w:r>
          </w:p>
        </w:tc>
      </w:tr>
      <w:tr w:rsidR="002130B6" w:rsidRPr="005C6E10" w:rsidTr="005C6E1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rPr>
                <w:rFonts w:ascii="Times New Roman" w:eastAsia="Times New Roman" w:hAnsi="Times New Roman" w:cs="Times New Roman"/>
                <w:i/>
                <w:color w:val="000000"/>
                <w:lang w:val="mk-MK"/>
              </w:rPr>
            </w:pPr>
            <w:proofErr w:type="spellStart"/>
            <w:r w:rsidRPr="005C6E10">
              <w:rPr>
                <w:rFonts w:ascii="Times New Roman" w:eastAsia="Times New Roman" w:hAnsi="Times New Roman" w:cs="Times New Roman"/>
                <w:i/>
                <w:color w:val="000000"/>
              </w:rPr>
              <w:t>Однос</w:t>
            </w:r>
            <w:proofErr w:type="spellEnd"/>
            <w:r w:rsidRPr="005C6E10">
              <w:rPr>
                <w:rFonts w:ascii="Times New Roman" w:eastAsia="Times New Roman" w:hAnsi="Times New Roman" w:cs="Times New Roman"/>
                <w:i/>
                <w:color w:val="000000"/>
              </w:rPr>
              <w:t xml:space="preserve"> </w:t>
            </w:r>
            <w:proofErr w:type="spellStart"/>
            <w:r w:rsidRPr="005C6E10">
              <w:rPr>
                <w:rFonts w:ascii="Times New Roman" w:eastAsia="Times New Roman" w:hAnsi="Times New Roman" w:cs="Times New Roman"/>
                <w:i/>
                <w:color w:val="000000"/>
              </w:rPr>
              <w:t>меѓу</w:t>
            </w:r>
            <w:proofErr w:type="spellEnd"/>
            <w:r w:rsidRPr="005C6E10">
              <w:rPr>
                <w:rFonts w:ascii="Times New Roman" w:eastAsia="Times New Roman" w:hAnsi="Times New Roman" w:cs="Times New Roman"/>
                <w:i/>
                <w:color w:val="000000"/>
              </w:rPr>
              <w:t xml:space="preserve"> 1 и 2</w:t>
            </w:r>
            <w:r w:rsidR="005C6E10">
              <w:rPr>
                <w:rFonts w:ascii="Times New Roman" w:eastAsia="Times New Roman" w:hAnsi="Times New Roman" w:cs="Times New Roman"/>
                <w:i/>
                <w:color w:val="000000"/>
                <w:lang w:val="mk-MK"/>
              </w:rPr>
              <w:t>(</w:t>
            </w:r>
            <w:proofErr w:type="gramStart"/>
            <w:r w:rsidR="005C6E10">
              <w:rPr>
                <w:rFonts w:ascii="Times New Roman" w:eastAsia="Times New Roman" w:hAnsi="Times New Roman" w:cs="Times New Roman"/>
                <w:i/>
                <w:color w:val="000000"/>
                <w:lang w:val="mk-MK"/>
              </w:rPr>
              <w:t>во%</w:t>
            </w:r>
            <w:proofErr w:type="gramEnd"/>
            <w:r w:rsidR="005C6E10">
              <w:rPr>
                <w:rFonts w:ascii="Times New Roman" w:eastAsia="Times New Roman" w:hAnsi="Times New Roman" w:cs="Times New Roman"/>
                <w:i/>
                <w:color w:val="000000"/>
                <w:lang w:val="mk-MK"/>
              </w:rPr>
              <w:t>)</w:t>
            </w:r>
          </w:p>
        </w:tc>
        <w:tc>
          <w:tcPr>
            <w:tcW w:w="148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47.73</w:t>
            </w:r>
          </w:p>
        </w:tc>
        <w:tc>
          <w:tcPr>
            <w:tcW w:w="106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35.72</w:t>
            </w:r>
          </w:p>
        </w:tc>
        <w:tc>
          <w:tcPr>
            <w:tcW w:w="106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36.46</w:t>
            </w:r>
          </w:p>
        </w:tc>
        <w:tc>
          <w:tcPr>
            <w:tcW w:w="986" w:type="dxa"/>
            <w:tcBorders>
              <w:top w:val="nil"/>
              <w:left w:val="nil"/>
              <w:bottom w:val="single" w:sz="4" w:space="0" w:color="auto"/>
              <w:right w:val="single" w:sz="4" w:space="0" w:color="auto"/>
            </w:tcBorders>
            <w:shd w:val="clear" w:color="auto" w:fill="auto"/>
            <w:noWrap/>
            <w:vAlign w:val="bottom"/>
            <w:hideMark/>
          </w:tcPr>
          <w:p w:rsidR="002130B6" w:rsidRPr="005C6E10" w:rsidRDefault="0097387D" w:rsidP="002747D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2,186.60</w:t>
            </w:r>
          </w:p>
        </w:tc>
        <w:tc>
          <w:tcPr>
            <w:tcW w:w="118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6.06</w:t>
            </w:r>
          </w:p>
        </w:tc>
      </w:tr>
      <w:tr w:rsidR="002130B6" w:rsidRPr="005C6E10" w:rsidTr="005C6E10">
        <w:trPr>
          <w:trHeight w:val="300"/>
        </w:trPr>
        <w:tc>
          <w:tcPr>
            <w:tcW w:w="31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2130B6" w:rsidRPr="005C6E10" w:rsidRDefault="002130B6" w:rsidP="002130B6">
            <w:pPr>
              <w:spacing w:after="0" w:line="240" w:lineRule="auto"/>
              <w:rPr>
                <w:rFonts w:ascii="Times New Roman" w:eastAsia="Times New Roman" w:hAnsi="Times New Roman" w:cs="Times New Roman"/>
                <w:b/>
                <w:bCs/>
                <w:color w:val="000000"/>
              </w:rPr>
            </w:pPr>
            <w:proofErr w:type="spellStart"/>
            <w:r w:rsidRPr="005C6E10">
              <w:rPr>
                <w:rFonts w:ascii="Times New Roman" w:eastAsia="Times New Roman" w:hAnsi="Times New Roman" w:cs="Times New Roman"/>
                <w:b/>
                <w:bCs/>
                <w:color w:val="000000"/>
              </w:rPr>
              <w:t>Година</w:t>
            </w:r>
            <w:proofErr w:type="spellEnd"/>
          </w:p>
        </w:tc>
        <w:tc>
          <w:tcPr>
            <w:tcW w:w="1480" w:type="dxa"/>
            <w:tcBorders>
              <w:top w:val="nil"/>
              <w:left w:val="nil"/>
              <w:bottom w:val="single" w:sz="4" w:space="0" w:color="auto"/>
              <w:right w:val="single" w:sz="4" w:space="0" w:color="auto"/>
            </w:tcBorders>
            <w:shd w:val="clear" w:color="auto" w:fill="BFBFBF" w:themeFill="background1" w:themeFillShade="BF"/>
            <w:noWrap/>
            <w:vAlign w:val="bottom"/>
            <w:hideMark/>
          </w:tcPr>
          <w:p w:rsidR="002130B6" w:rsidRPr="005C6E10" w:rsidRDefault="002130B6" w:rsidP="002130B6">
            <w:pPr>
              <w:spacing w:after="0" w:line="240" w:lineRule="auto"/>
              <w:jc w:val="right"/>
              <w:rPr>
                <w:rFonts w:ascii="Times New Roman" w:eastAsia="Times New Roman" w:hAnsi="Times New Roman" w:cs="Times New Roman"/>
                <w:b/>
                <w:bCs/>
                <w:color w:val="000000"/>
              </w:rPr>
            </w:pPr>
            <w:r w:rsidRPr="005C6E10">
              <w:rPr>
                <w:rFonts w:ascii="Times New Roman" w:eastAsia="Times New Roman" w:hAnsi="Times New Roman" w:cs="Times New Roman"/>
                <w:b/>
                <w:bCs/>
                <w:color w:val="000000"/>
              </w:rPr>
              <w:t>2015</w:t>
            </w:r>
          </w:p>
        </w:tc>
        <w:tc>
          <w:tcPr>
            <w:tcW w:w="1060" w:type="dxa"/>
            <w:tcBorders>
              <w:top w:val="nil"/>
              <w:left w:val="nil"/>
              <w:bottom w:val="single" w:sz="4" w:space="0" w:color="auto"/>
              <w:right w:val="single" w:sz="4" w:space="0" w:color="auto"/>
            </w:tcBorders>
            <w:shd w:val="clear" w:color="auto" w:fill="BFBFBF" w:themeFill="background1" w:themeFillShade="BF"/>
            <w:noWrap/>
            <w:vAlign w:val="bottom"/>
            <w:hideMark/>
          </w:tcPr>
          <w:p w:rsidR="002130B6" w:rsidRPr="005C6E10" w:rsidRDefault="002130B6" w:rsidP="002130B6">
            <w:pPr>
              <w:spacing w:after="0" w:line="240" w:lineRule="auto"/>
              <w:jc w:val="right"/>
              <w:rPr>
                <w:rFonts w:ascii="Times New Roman" w:eastAsia="Times New Roman" w:hAnsi="Times New Roman" w:cs="Times New Roman"/>
                <w:b/>
                <w:bCs/>
                <w:color w:val="000000"/>
              </w:rPr>
            </w:pPr>
            <w:r w:rsidRPr="005C6E10">
              <w:rPr>
                <w:rFonts w:ascii="Times New Roman" w:eastAsia="Times New Roman" w:hAnsi="Times New Roman" w:cs="Times New Roman"/>
                <w:b/>
                <w:bCs/>
                <w:color w:val="000000"/>
              </w:rPr>
              <w:t>2016</w:t>
            </w:r>
          </w:p>
        </w:tc>
        <w:tc>
          <w:tcPr>
            <w:tcW w:w="1060" w:type="dxa"/>
            <w:tcBorders>
              <w:top w:val="nil"/>
              <w:left w:val="nil"/>
              <w:bottom w:val="single" w:sz="4" w:space="0" w:color="auto"/>
              <w:right w:val="single" w:sz="4" w:space="0" w:color="auto"/>
            </w:tcBorders>
            <w:shd w:val="clear" w:color="auto" w:fill="BFBFBF" w:themeFill="background1" w:themeFillShade="BF"/>
            <w:noWrap/>
            <w:vAlign w:val="bottom"/>
            <w:hideMark/>
          </w:tcPr>
          <w:p w:rsidR="002130B6" w:rsidRPr="005C6E10" w:rsidRDefault="002130B6" w:rsidP="002130B6">
            <w:pPr>
              <w:spacing w:after="0" w:line="240" w:lineRule="auto"/>
              <w:jc w:val="right"/>
              <w:rPr>
                <w:rFonts w:ascii="Times New Roman" w:eastAsia="Times New Roman" w:hAnsi="Times New Roman" w:cs="Times New Roman"/>
                <w:b/>
                <w:bCs/>
                <w:color w:val="000000"/>
              </w:rPr>
            </w:pPr>
            <w:r w:rsidRPr="005C6E10">
              <w:rPr>
                <w:rFonts w:ascii="Times New Roman" w:eastAsia="Times New Roman" w:hAnsi="Times New Roman" w:cs="Times New Roman"/>
                <w:b/>
                <w:bCs/>
                <w:color w:val="000000"/>
              </w:rPr>
              <w:t>2017</w:t>
            </w:r>
          </w:p>
        </w:tc>
        <w:tc>
          <w:tcPr>
            <w:tcW w:w="986" w:type="dxa"/>
            <w:tcBorders>
              <w:top w:val="nil"/>
              <w:left w:val="nil"/>
              <w:bottom w:val="single" w:sz="4" w:space="0" w:color="auto"/>
              <w:right w:val="single" w:sz="4" w:space="0" w:color="auto"/>
            </w:tcBorders>
            <w:shd w:val="clear" w:color="auto" w:fill="BFBFBF" w:themeFill="background1" w:themeFillShade="BF"/>
            <w:noWrap/>
            <w:vAlign w:val="bottom"/>
            <w:hideMark/>
          </w:tcPr>
          <w:p w:rsidR="002130B6" w:rsidRPr="005C6E10" w:rsidRDefault="002130B6" w:rsidP="002130B6">
            <w:pPr>
              <w:spacing w:after="0" w:line="240" w:lineRule="auto"/>
              <w:jc w:val="right"/>
              <w:rPr>
                <w:rFonts w:ascii="Times New Roman" w:eastAsia="Times New Roman" w:hAnsi="Times New Roman" w:cs="Times New Roman"/>
                <w:b/>
                <w:bCs/>
                <w:color w:val="000000"/>
              </w:rPr>
            </w:pPr>
            <w:r w:rsidRPr="005C6E10">
              <w:rPr>
                <w:rFonts w:ascii="Times New Roman" w:eastAsia="Times New Roman" w:hAnsi="Times New Roman" w:cs="Times New Roman"/>
                <w:b/>
                <w:bCs/>
                <w:color w:val="000000"/>
              </w:rPr>
              <w:t>2018</w:t>
            </w:r>
          </w:p>
        </w:tc>
        <w:tc>
          <w:tcPr>
            <w:tcW w:w="1180" w:type="dxa"/>
            <w:tcBorders>
              <w:top w:val="nil"/>
              <w:left w:val="nil"/>
              <w:bottom w:val="single" w:sz="4" w:space="0" w:color="auto"/>
              <w:right w:val="single" w:sz="4" w:space="0" w:color="auto"/>
            </w:tcBorders>
            <w:shd w:val="clear" w:color="auto" w:fill="BFBFBF" w:themeFill="background1" w:themeFillShade="BF"/>
            <w:noWrap/>
            <w:vAlign w:val="bottom"/>
            <w:hideMark/>
          </w:tcPr>
          <w:p w:rsidR="002130B6" w:rsidRPr="005C6E10" w:rsidRDefault="002130B6" w:rsidP="002130B6">
            <w:pPr>
              <w:spacing w:after="0" w:line="240" w:lineRule="auto"/>
              <w:rPr>
                <w:rFonts w:ascii="Times New Roman" w:eastAsia="Times New Roman" w:hAnsi="Times New Roman" w:cs="Times New Roman"/>
                <w:color w:val="000000"/>
              </w:rPr>
            </w:pPr>
            <w:r w:rsidRPr="005C6E10">
              <w:rPr>
                <w:rFonts w:ascii="Times New Roman" w:eastAsia="Times New Roman" w:hAnsi="Times New Roman" w:cs="Times New Roman"/>
                <w:color w:val="000000"/>
              </w:rPr>
              <w:t> </w:t>
            </w:r>
          </w:p>
        </w:tc>
      </w:tr>
      <w:tr w:rsidR="002130B6" w:rsidRPr="005C6E10" w:rsidTr="005C6E1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rPr>
                <w:rFonts w:ascii="Times New Roman" w:eastAsia="Times New Roman" w:hAnsi="Times New Roman" w:cs="Times New Roman"/>
                <w:i/>
                <w:color w:val="000000"/>
              </w:rPr>
            </w:pPr>
            <w:r w:rsidRPr="005C6E10">
              <w:rPr>
                <w:rFonts w:ascii="Times New Roman" w:eastAsia="Times New Roman" w:hAnsi="Times New Roman" w:cs="Times New Roman"/>
                <w:i/>
                <w:color w:val="000000"/>
              </w:rPr>
              <w:t xml:space="preserve">1.Буџет </w:t>
            </w:r>
            <w:proofErr w:type="spellStart"/>
            <w:r w:rsidRPr="005C6E10">
              <w:rPr>
                <w:rFonts w:ascii="Times New Roman" w:eastAsia="Times New Roman" w:hAnsi="Times New Roman" w:cs="Times New Roman"/>
                <w:i/>
                <w:color w:val="000000"/>
              </w:rPr>
              <w:t>на</w:t>
            </w:r>
            <w:proofErr w:type="spellEnd"/>
            <w:r w:rsidRPr="005C6E10">
              <w:rPr>
                <w:rFonts w:ascii="Times New Roman" w:eastAsia="Times New Roman" w:hAnsi="Times New Roman" w:cs="Times New Roman"/>
                <w:i/>
                <w:color w:val="000000"/>
              </w:rPr>
              <w:t xml:space="preserve"> КЗК </w:t>
            </w:r>
          </w:p>
        </w:tc>
        <w:tc>
          <w:tcPr>
            <w:tcW w:w="148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17,184</w:t>
            </w:r>
          </w:p>
        </w:tc>
        <w:tc>
          <w:tcPr>
            <w:tcW w:w="106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17,723</w:t>
            </w:r>
          </w:p>
        </w:tc>
        <w:tc>
          <w:tcPr>
            <w:tcW w:w="106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18,780</w:t>
            </w:r>
          </w:p>
        </w:tc>
        <w:tc>
          <w:tcPr>
            <w:tcW w:w="986"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18,716</w:t>
            </w:r>
          </w:p>
        </w:tc>
        <w:tc>
          <w:tcPr>
            <w:tcW w:w="118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rPr>
                <w:rFonts w:ascii="Times New Roman" w:eastAsia="Times New Roman" w:hAnsi="Times New Roman" w:cs="Times New Roman"/>
                <w:color w:val="000000"/>
              </w:rPr>
            </w:pPr>
            <w:r w:rsidRPr="005C6E10">
              <w:rPr>
                <w:rFonts w:ascii="Times New Roman" w:eastAsia="Times New Roman" w:hAnsi="Times New Roman" w:cs="Times New Roman"/>
                <w:color w:val="000000"/>
              </w:rPr>
              <w:t> </w:t>
            </w:r>
          </w:p>
        </w:tc>
      </w:tr>
      <w:tr w:rsidR="002130B6" w:rsidRPr="005C6E10" w:rsidTr="005C6E1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rPr>
                <w:rFonts w:ascii="Times New Roman" w:eastAsia="Times New Roman" w:hAnsi="Times New Roman" w:cs="Times New Roman"/>
                <w:i/>
                <w:color w:val="000000"/>
              </w:rPr>
            </w:pPr>
            <w:r w:rsidRPr="005C6E10">
              <w:rPr>
                <w:rFonts w:ascii="Times New Roman" w:eastAsia="Times New Roman" w:hAnsi="Times New Roman" w:cs="Times New Roman"/>
                <w:i/>
                <w:color w:val="000000"/>
              </w:rPr>
              <w:t xml:space="preserve">2.Вкупно </w:t>
            </w:r>
            <w:proofErr w:type="spellStart"/>
            <w:r w:rsidRPr="005C6E10">
              <w:rPr>
                <w:rFonts w:ascii="Times New Roman" w:eastAsia="Times New Roman" w:hAnsi="Times New Roman" w:cs="Times New Roman"/>
                <w:i/>
                <w:color w:val="000000"/>
              </w:rPr>
              <w:t>изречени</w:t>
            </w:r>
            <w:proofErr w:type="spellEnd"/>
            <w:r w:rsidRPr="005C6E10">
              <w:rPr>
                <w:rFonts w:ascii="Times New Roman" w:eastAsia="Times New Roman" w:hAnsi="Times New Roman" w:cs="Times New Roman"/>
                <w:i/>
                <w:color w:val="000000"/>
              </w:rPr>
              <w:br/>
              <w:t xml:space="preserve"> </w:t>
            </w:r>
            <w:proofErr w:type="spellStart"/>
            <w:r w:rsidRPr="005C6E10">
              <w:rPr>
                <w:rFonts w:ascii="Times New Roman" w:eastAsia="Times New Roman" w:hAnsi="Times New Roman" w:cs="Times New Roman"/>
                <w:i/>
                <w:color w:val="000000"/>
              </w:rPr>
              <w:t>парични</w:t>
            </w:r>
            <w:proofErr w:type="spellEnd"/>
            <w:r w:rsidRPr="005C6E10">
              <w:rPr>
                <w:rFonts w:ascii="Times New Roman" w:eastAsia="Times New Roman" w:hAnsi="Times New Roman" w:cs="Times New Roman"/>
                <w:i/>
                <w:color w:val="000000"/>
              </w:rPr>
              <w:t xml:space="preserve"> </w:t>
            </w:r>
            <w:proofErr w:type="spellStart"/>
            <w:r w:rsidRPr="005C6E10">
              <w:rPr>
                <w:rFonts w:ascii="Times New Roman" w:eastAsia="Times New Roman" w:hAnsi="Times New Roman" w:cs="Times New Roman"/>
                <w:i/>
                <w:color w:val="000000"/>
              </w:rPr>
              <w:t>казни</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46,584</w:t>
            </w:r>
          </w:p>
        </w:tc>
        <w:tc>
          <w:tcPr>
            <w:tcW w:w="106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18,118</w:t>
            </w:r>
          </w:p>
        </w:tc>
        <w:tc>
          <w:tcPr>
            <w:tcW w:w="106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635,894</w:t>
            </w:r>
          </w:p>
        </w:tc>
        <w:tc>
          <w:tcPr>
            <w:tcW w:w="986"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15,122</w:t>
            </w:r>
          </w:p>
        </w:tc>
        <w:tc>
          <w:tcPr>
            <w:tcW w:w="118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rPr>
                <w:rFonts w:ascii="Times New Roman" w:eastAsia="Times New Roman" w:hAnsi="Times New Roman" w:cs="Times New Roman"/>
                <w:color w:val="000000"/>
              </w:rPr>
            </w:pPr>
            <w:r w:rsidRPr="005C6E10">
              <w:rPr>
                <w:rFonts w:ascii="Times New Roman" w:eastAsia="Times New Roman" w:hAnsi="Times New Roman" w:cs="Times New Roman"/>
                <w:color w:val="000000"/>
              </w:rPr>
              <w:t> </w:t>
            </w:r>
          </w:p>
        </w:tc>
      </w:tr>
      <w:tr w:rsidR="002130B6" w:rsidRPr="005C6E10" w:rsidTr="005C6E1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rPr>
                <w:rFonts w:ascii="Times New Roman" w:eastAsia="Times New Roman" w:hAnsi="Times New Roman" w:cs="Times New Roman"/>
                <w:i/>
                <w:color w:val="000000"/>
                <w:lang w:val="mk-MK"/>
              </w:rPr>
            </w:pPr>
            <w:proofErr w:type="spellStart"/>
            <w:r w:rsidRPr="005C6E10">
              <w:rPr>
                <w:rFonts w:ascii="Times New Roman" w:eastAsia="Times New Roman" w:hAnsi="Times New Roman" w:cs="Times New Roman"/>
                <w:i/>
                <w:color w:val="000000"/>
              </w:rPr>
              <w:t>Однос</w:t>
            </w:r>
            <w:proofErr w:type="spellEnd"/>
            <w:r w:rsidRPr="005C6E10">
              <w:rPr>
                <w:rFonts w:ascii="Times New Roman" w:eastAsia="Times New Roman" w:hAnsi="Times New Roman" w:cs="Times New Roman"/>
                <w:i/>
                <w:color w:val="000000"/>
              </w:rPr>
              <w:t xml:space="preserve"> </w:t>
            </w:r>
            <w:proofErr w:type="spellStart"/>
            <w:r w:rsidRPr="005C6E10">
              <w:rPr>
                <w:rFonts w:ascii="Times New Roman" w:eastAsia="Times New Roman" w:hAnsi="Times New Roman" w:cs="Times New Roman"/>
                <w:i/>
                <w:color w:val="000000"/>
              </w:rPr>
              <w:t>меѓу</w:t>
            </w:r>
            <w:proofErr w:type="spellEnd"/>
            <w:r w:rsidRPr="005C6E10">
              <w:rPr>
                <w:rFonts w:ascii="Times New Roman" w:eastAsia="Times New Roman" w:hAnsi="Times New Roman" w:cs="Times New Roman"/>
                <w:i/>
                <w:color w:val="000000"/>
              </w:rPr>
              <w:t xml:space="preserve"> 1 и 2</w:t>
            </w:r>
            <w:r w:rsidR="005C6E10">
              <w:rPr>
                <w:rFonts w:ascii="Times New Roman" w:eastAsia="Times New Roman" w:hAnsi="Times New Roman" w:cs="Times New Roman"/>
                <w:i/>
                <w:color w:val="000000"/>
                <w:lang w:val="mk-MK"/>
              </w:rPr>
              <w:t xml:space="preserve"> (во %)</w:t>
            </w:r>
          </w:p>
        </w:tc>
        <w:tc>
          <w:tcPr>
            <w:tcW w:w="148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36.89</w:t>
            </w:r>
          </w:p>
        </w:tc>
        <w:tc>
          <w:tcPr>
            <w:tcW w:w="106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97.82</w:t>
            </w:r>
          </w:p>
        </w:tc>
        <w:tc>
          <w:tcPr>
            <w:tcW w:w="106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2.95</w:t>
            </w:r>
          </w:p>
        </w:tc>
        <w:tc>
          <w:tcPr>
            <w:tcW w:w="986"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jc w:val="right"/>
              <w:rPr>
                <w:rFonts w:ascii="Times New Roman" w:eastAsia="Times New Roman" w:hAnsi="Times New Roman" w:cs="Times New Roman"/>
                <w:color w:val="000000"/>
              </w:rPr>
            </w:pPr>
            <w:r w:rsidRPr="005C6E10">
              <w:rPr>
                <w:rFonts w:ascii="Times New Roman" w:eastAsia="Times New Roman" w:hAnsi="Times New Roman" w:cs="Times New Roman"/>
                <w:color w:val="000000"/>
              </w:rPr>
              <w:t>123.77</w:t>
            </w:r>
          </w:p>
        </w:tc>
        <w:tc>
          <w:tcPr>
            <w:tcW w:w="1180" w:type="dxa"/>
            <w:tcBorders>
              <w:top w:val="nil"/>
              <w:left w:val="nil"/>
              <w:bottom w:val="single" w:sz="4" w:space="0" w:color="auto"/>
              <w:right w:val="single" w:sz="4" w:space="0" w:color="auto"/>
            </w:tcBorders>
            <w:shd w:val="clear" w:color="auto" w:fill="auto"/>
            <w:noWrap/>
            <w:vAlign w:val="bottom"/>
            <w:hideMark/>
          </w:tcPr>
          <w:p w:rsidR="002130B6" w:rsidRPr="005C6E10" w:rsidRDefault="002130B6" w:rsidP="002130B6">
            <w:pPr>
              <w:spacing w:after="0" w:line="240" w:lineRule="auto"/>
              <w:rPr>
                <w:rFonts w:ascii="Times New Roman" w:eastAsia="Times New Roman" w:hAnsi="Times New Roman" w:cs="Times New Roman"/>
                <w:color w:val="000000"/>
              </w:rPr>
            </w:pPr>
            <w:r w:rsidRPr="005C6E10">
              <w:rPr>
                <w:rFonts w:ascii="Times New Roman" w:eastAsia="Times New Roman" w:hAnsi="Times New Roman" w:cs="Times New Roman"/>
                <w:color w:val="000000"/>
              </w:rPr>
              <w:t> </w:t>
            </w:r>
          </w:p>
        </w:tc>
      </w:tr>
    </w:tbl>
    <w:p w:rsidR="005C6E10" w:rsidRPr="006238AF" w:rsidRDefault="005C6E10" w:rsidP="005C6E10">
      <w:pPr>
        <w:jc w:val="center"/>
        <w:rPr>
          <w:rFonts w:ascii="Times New Roman" w:hAnsi="Times New Roman" w:cs="Times New Roman"/>
          <w:sz w:val="20"/>
          <w:szCs w:val="20"/>
          <w:lang w:val="mk-MK"/>
        </w:rPr>
      </w:pPr>
      <w:r w:rsidRPr="006238AF">
        <w:rPr>
          <w:rFonts w:ascii="Times New Roman" w:hAnsi="Times New Roman" w:cs="Times New Roman"/>
          <w:sz w:val="20"/>
          <w:szCs w:val="20"/>
          <w:lang w:val="mk-MK"/>
        </w:rPr>
        <w:t xml:space="preserve">Извор: </w:t>
      </w:r>
      <w:r>
        <w:rPr>
          <w:rFonts w:ascii="Times New Roman" w:hAnsi="Times New Roman" w:cs="Times New Roman"/>
          <w:sz w:val="20"/>
          <w:szCs w:val="20"/>
          <w:lang w:val="mk-MK"/>
        </w:rPr>
        <w:t>Пресметки според податоци од г</w:t>
      </w:r>
      <w:r w:rsidRPr="006238AF">
        <w:rPr>
          <w:rFonts w:ascii="Times New Roman" w:hAnsi="Times New Roman" w:cs="Times New Roman"/>
          <w:sz w:val="20"/>
          <w:szCs w:val="20"/>
          <w:lang w:val="mk-MK"/>
        </w:rPr>
        <w:t>одишни извештаи за работата на КЗК од 2010 до 2018 година</w:t>
      </w:r>
    </w:p>
    <w:p w:rsidR="00136EA9" w:rsidRPr="00B654F2" w:rsidRDefault="00136EA9" w:rsidP="00136EA9">
      <w:pPr>
        <w:jc w:val="both"/>
        <w:rPr>
          <w:rFonts w:ascii="Times New Roman" w:hAnsi="Times New Roman" w:cs="Times New Roman"/>
          <w:sz w:val="24"/>
          <w:szCs w:val="24"/>
          <w:lang w:val="mk-MK"/>
        </w:rPr>
      </w:pPr>
      <w:r w:rsidRPr="00B654F2">
        <w:rPr>
          <w:rFonts w:ascii="Times New Roman" w:hAnsi="Times New Roman" w:cs="Times New Roman"/>
          <w:sz w:val="24"/>
          <w:szCs w:val="24"/>
          <w:lang w:val="mk-MK"/>
        </w:rPr>
        <w:lastRenderedPageBreak/>
        <w:t xml:space="preserve">Друг сериозен проблем на КЗК претставува неадекватната структура на распределба на вработените во стручните и општите служби. Имено, само 25% од вкупниот број на вработени лица во комисијата се ангажирани на спроведување на регулативата за заштита на конкуренцијата. За споредба, во институциите за заштита на конкуренцијата во Црна Гора и Србија, во овој сектор вработените претставуваат 71%  и 62,5% соодветно, од вкупниот број на вработени. Во Република Хрватска, во период кога ги водеше преговорите за зачленување во ЕУ, во секторот за </w:t>
      </w:r>
      <w:proofErr w:type="spellStart"/>
      <w:r w:rsidRPr="00B654F2">
        <w:rPr>
          <w:rFonts w:ascii="Times New Roman" w:hAnsi="Times New Roman" w:cs="Times New Roman"/>
          <w:sz w:val="24"/>
          <w:szCs w:val="24"/>
          <w:lang w:val="mk-MK"/>
        </w:rPr>
        <w:t>антитруствска</w:t>
      </w:r>
      <w:proofErr w:type="spellEnd"/>
      <w:r w:rsidRPr="00B654F2">
        <w:rPr>
          <w:rFonts w:ascii="Times New Roman" w:hAnsi="Times New Roman" w:cs="Times New Roman"/>
          <w:sz w:val="24"/>
          <w:szCs w:val="24"/>
          <w:lang w:val="mk-MK"/>
        </w:rPr>
        <w:t xml:space="preserve"> регулатива работеа 66% од вкупниот број на вработен</w:t>
      </w:r>
      <w:r w:rsidRPr="0097387D">
        <w:rPr>
          <w:rFonts w:ascii="Times New Roman" w:hAnsi="Times New Roman" w:cs="Times New Roman"/>
          <w:sz w:val="24"/>
          <w:szCs w:val="24"/>
          <w:lang w:val="mk-MK"/>
        </w:rPr>
        <w:t>и.</w:t>
      </w:r>
    </w:p>
    <w:p w:rsidR="00136EA9" w:rsidRPr="00B654F2" w:rsidRDefault="0097387D" w:rsidP="00136EA9">
      <w:pPr>
        <w:jc w:val="center"/>
        <w:rPr>
          <w:rFonts w:ascii="Times New Roman" w:hAnsi="Times New Roman" w:cs="Times New Roman"/>
          <w:b/>
          <w:sz w:val="24"/>
          <w:szCs w:val="24"/>
          <w:lang w:val="mk-MK"/>
        </w:rPr>
      </w:pPr>
      <w:r>
        <w:rPr>
          <w:rFonts w:ascii="Times New Roman" w:hAnsi="Times New Roman" w:cs="Times New Roman"/>
          <w:b/>
          <w:sz w:val="24"/>
          <w:szCs w:val="24"/>
          <w:lang w:val="mk-MK"/>
        </w:rPr>
        <w:t>Табела5</w:t>
      </w:r>
      <w:r w:rsidR="00136EA9" w:rsidRPr="00B654F2">
        <w:rPr>
          <w:rFonts w:ascii="Times New Roman" w:hAnsi="Times New Roman" w:cs="Times New Roman"/>
          <w:b/>
          <w:sz w:val="24"/>
          <w:szCs w:val="24"/>
          <w:lang w:val="mk-MK"/>
        </w:rPr>
        <w:t>: Број на вработени во агенциите за заштита на конкуренцијата во селектирани земји од регионот</w:t>
      </w:r>
    </w:p>
    <w:tbl>
      <w:tblPr>
        <w:tblW w:w="7366" w:type="dxa"/>
        <w:jc w:val="center"/>
        <w:tblLook w:val="04A0" w:firstRow="1" w:lastRow="0" w:firstColumn="1" w:lastColumn="0" w:noHBand="0" w:noVBand="1"/>
      </w:tblPr>
      <w:tblGrid>
        <w:gridCol w:w="1425"/>
        <w:gridCol w:w="2706"/>
        <w:gridCol w:w="3260"/>
      </w:tblGrid>
      <w:tr w:rsidR="00136EA9" w:rsidRPr="00B83803" w:rsidTr="00A06960">
        <w:trPr>
          <w:trHeight w:val="1500"/>
          <w:jc w:val="center"/>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A9" w:rsidRPr="00B83803" w:rsidRDefault="00136EA9" w:rsidP="00A06960">
            <w:pPr>
              <w:spacing w:after="0" w:line="240" w:lineRule="auto"/>
              <w:rPr>
                <w:rFonts w:ascii="Times New Roman" w:eastAsia="Times New Roman" w:hAnsi="Times New Roman" w:cs="Times New Roman"/>
                <w:color w:val="000000"/>
              </w:rPr>
            </w:pPr>
            <w:r w:rsidRPr="00B83803">
              <w:rPr>
                <w:rFonts w:ascii="Times New Roman" w:eastAsia="Times New Roman" w:hAnsi="Times New Roman" w:cs="Times New Roman"/>
                <w:color w:val="000000"/>
              </w:rPr>
              <w:t> </w:t>
            </w:r>
          </w:p>
        </w:tc>
        <w:tc>
          <w:tcPr>
            <w:tcW w:w="2706"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136EA9" w:rsidRPr="00B83803" w:rsidRDefault="00136EA9" w:rsidP="00A06960">
            <w:pPr>
              <w:spacing w:after="0" w:line="240" w:lineRule="auto"/>
              <w:rPr>
                <w:rFonts w:ascii="Times New Roman" w:eastAsia="Times New Roman" w:hAnsi="Times New Roman" w:cs="Times New Roman"/>
                <w:b/>
                <w:color w:val="000000"/>
              </w:rPr>
            </w:pPr>
            <w:proofErr w:type="spellStart"/>
            <w:r w:rsidRPr="00B83803">
              <w:rPr>
                <w:rFonts w:ascii="Times New Roman" w:eastAsia="Times New Roman" w:hAnsi="Times New Roman" w:cs="Times New Roman"/>
                <w:b/>
                <w:color w:val="000000"/>
              </w:rPr>
              <w:t>Број</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на</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вработени</w:t>
            </w:r>
            <w:proofErr w:type="spellEnd"/>
            <w:r w:rsidRPr="00B83803">
              <w:rPr>
                <w:rFonts w:ascii="Times New Roman" w:eastAsia="Times New Roman" w:hAnsi="Times New Roman" w:cs="Times New Roman"/>
                <w:b/>
                <w:color w:val="000000"/>
              </w:rPr>
              <w:br/>
            </w:r>
            <w:proofErr w:type="spellStart"/>
            <w:r w:rsidRPr="00B83803">
              <w:rPr>
                <w:rFonts w:ascii="Times New Roman" w:eastAsia="Times New Roman" w:hAnsi="Times New Roman" w:cs="Times New Roman"/>
                <w:b/>
                <w:color w:val="000000"/>
              </w:rPr>
              <w:t>во</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институциите</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за</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заштита</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наконкуренцијата</w:t>
            </w:r>
            <w:proofErr w:type="spellEnd"/>
          </w:p>
        </w:tc>
        <w:tc>
          <w:tcPr>
            <w:tcW w:w="326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136EA9" w:rsidRPr="00B83803" w:rsidRDefault="00136EA9" w:rsidP="00A06960">
            <w:pPr>
              <w:spacing w:after="0" w:line="240" w:lineRule="auto"/>
              <w:rPr>
                <w:rFonts w:ascii="Times New Roman" w:eastAsia="Times New Roman" w:hAnsi="Times New Roman" w:cs="Times New Roman"/>
                <w:b/>
                <w:color w:val="000000"/>
              </w:rPr>
            </w:pPr>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Учество</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на</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вработените</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надлежни</w:t>
            </w:r>
            <w:proofErr w:type="spellEnd"/>
            <w:r w:rsidRPr="00B83803">
              <w:rPr>
                <w:rFonts w:ascii="Times New Roman" w:eastAsia="Times New Roman" w:hAnsi="Times New Roman" w:cs="Times New Roman"/>
                <w:b/>
                <w:color w:val="000000"/>
              </w:rPr>
              <w:t xml:space="preserve"> </w:t>
            </w:r>
            <w:r w:rsidRPr="00B83803">
              <w:rPr>
                <w:rFonts w:ascii="Times New Roman" w:eastAsia="Times New Roman" w:hAnsi="Times New Roman" w:cs="Times New Roman"/>
                <w:b/>
                <w:color w:val="000000"/>
              </w:rPr>
              <w:br/>
            </w:r>
            <w:proofErr w:type="spellStart"/>
            <w:r w:rsidRPr="00B83803">
              <w:rPr>
                <w:rFonts w:ascii="Times New Roman" w:eastAsia="Times New Roman" w:hAnsi="Times New Roman" w:cs="Times New Roman"/>
                <w:b/>
                <w:color w:val="000000"/>
              </w:rPr>
              <w:t>за</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спроведување</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на</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регулативата</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за</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заштита</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на</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конкуренцијата</w:t>
            </w:r>
            <w:proofErr w:type="spellEnd"/>
          </w:p>
        </w:tc>
      </w:tr>
      <w:tr w:rsidR="00136EA9" w:rsidRPr="00B83803" w:rsidTr="00A06960">
        <w:trPr>
          <w:trHeight w:val="600"/>
          <w:jc w:val="center"/>
        </w:trPr>
        <w:tc>
          <w:tcPr>
            <w:tcW w:w="1400" w:type="dxa"/>
            <w:tcBorders>
              <w:top w:val="nil"/>
              <w:left w:val="single" w:sz="4" w:space="0" w:color="auto"/>
              <w:bottom w:val="single" w:sz="4" w:space="0" w:color="auto"/>
              <w:right w:val="single" w:sz="4" w:space="0" w:color="auto"/>
            </w:tcBorders>
            <w:shd w:val="clear" w:color="auto" w:fill="auto"/>
            <w:vAlign w:val="bottom"/>
            <w:hideMark/>
          </w:tcPr>
          <w:p w:rsidR="00136EA9" w:rsidRPr="00B83803" w:rsidRDefault="00136EA9" w:rsidP="00A06960">
            <w:pPr>
              <w:spacing w:after="0" w:line="240" w:lineRule="auto"/>
              <w:rPr>
                <w:rFonts w:ascii="Times New Roman" w:eastAsia="Times New Roman" w:hAnsi="Times New Roman" w:cs="Times New Roman"/>
                <w:b/>
                <w:color w:val="000000"/>
              </w:rPr>
            </w:pPr>
            <w:proofErr w:type="spellStart"/>
            <w:r w:rsidRPr="00B83803">
              <w:rPr>
                <w:rFonts w:ascii="Times New Roman" w:eastAsia="Times New Roman" w:hAnsi="Times New Roman" w:cs="Times New Roman"/>
                <w:b/>
                <w:color w:val="000000"/>
              </w:rPr>
              <w:t>Северна</w:t>
            </w:r>
            <w:proofErr w:type="spellEnd"/>
            <w:r w:rsidRPr="00B83803">
              <w:rPr>
                <w:rFonts w:ascii="Times New Roman" w:eastAsia="Times New Roman" w:hAnsi="Times New Roman" w:cs="Times New Roman"/>
                <w:b/>
                <w:color w:val="000000"/>
              </w:rPr>
              <w:t xml:space="preserve"> </w:t>
            </w:r>
            <w:r w:rsidRPr="006238AF">
              <w:rPr>
                <w:rFonts w:ascii="Times New Roman" w:eastAsia="Times New Roman" w:hAnsi="Times New Roman" w:cs="Times New Roman"/>
                <w:b/>
                <w:color w:val="000000"/>
                <w:lang w:val="mk-MK"/>
              </w:rPr>
              <w:t>*</w:t>
            </w:r>
            <w:r w:rsidRPr="00B83803">
              <w:rPr>
                <w:rFonts w:ascii="Times New Roman" w:eastAsia="Times New Roman" w:hAnsi="Times New Roman" w:cs="Times New Roman"/>
                <w:b/>
                <w:color w:val="000000"/>
              </w:rPr>
              <w:br/>
            </w:r>
            <w:proofErr w:type="spellStart"/>
            <w:r w:rsidRPr="00B83803">
              <w:rPr>
                <w:rFonts w:ascii="Times New Roman" w:eastAsia="Times New Roman" w:hAnsi="Times New Roman" w:cs="Times New Roman"/>
                <w:b/>
                <w:color w:val="000000"/>
              </w:rPr>
              <w:t>Македонија</w:t>
            </w:r>
            <w:proofErr w:type="spellEnd"/>
          </w:p>
        </w:tc>
        <w:tc>
          <w:tcPr>
            <w:tcW w:w="2706" w:type="dxa"/>
            <w:tcBorders>
              <w:top w:val="nil"/>
              <w:left w:val="nil"/>
              <w:bottom w:val="single" w:sz="4" w:space="0" w:color="auto"/>
              <w:right w:val="single" w:sz="4" w:space="0" w:color="auto"/>
            </w:tcBorders>
            <w:shd w:val="clear" w:color="auto" w:fill="auto"/>
            <w:noWrap/>
            <w:vAlign w:val="bottom"/>
            <w:hideMark/>
          </w:tcPr>
          <w:p w:rsidR="00136EA9" w:rsidRPr="00B83803" w:rsidRDefault="00136EA9" w:rsidP="00A06960">
            <w:pPr>
              <w:spacing w:after="0" w:line="240" w:lineRule="auto"/>
              <w:jc w:val="center"/>
              <w:rPr>
                <w:rFonts w:ascii="Times New Roman" w:eastAsia="Times New Roman" w:hAnsi="Times New Roman" w:cs="Times New Roman"/>
                <w:color w:val="000000"/>
                <w:lang w:val="mk-MK"/>
              </w:rPr>
            </w:pPr>
            <w:r w:rsidRPr="00B83803">
              <w:rPr>
                <w:rFonts w:ascii="Times New Roman" w:eastAsia="Times New Roman" w:hAnsi="Times New Roman" w:cs="Times New Roman"/>
                <w:color w:val="000000"/>
              </w:rPr>
              <w:t>27</w:t>
            </w:r>
            <w:r w:rsidRPr="00B654F2">
              <w:rPr>
                <w:rFonts w:ascii="Times New Roman" w:eastAsia="Times New Roman" w:hAnsi="Times New Roman" w:cs="Times New Roman"/>
                <w:color w:val="000000"/>
                <w:lang w:val="mk-MK"/>
              </w:rPr>
              <w:t>*</w:t>
            </w:r>
          </w:p>
        </w:tc>
        <w:tc>
          <w:tcPr>
            <w:tcW w:w="3260" w:type="dxa"/>
            <w:tcBorders>
              <w:top w:val="nil"/>
              <w:left w:val="nil"/>
              <w:bottom w:val="single" w:sz="4" w:space="0" w:color="auto"/>
              <w:right w:val="single" w:sz="4" w:space="0" w:color="auto"/>
            </w:tcBorders>
            <w:shd w:val="clear" w:color="auto" w:fill="auto"/>
            <w:noWrap/>
            <w:vAlign w:val="bottom"/>
            <w:hideMark/>
          </w:tcPr>
          <w:p w:rsidR="00136EA9" w:rsidRPr="00B83803" w:rsidRDefault="00136EA9" w:rsidP="00A06960">
            <w:pPr>
              <w:spacing w:after="0" w:line="240" w:lineRule="auto"/>
              <w:jc w:val="center"/>
              <w:rPr>
                <w:rFonts w:ascii="Times New Roman" w:eastAsia="Times New Roman" w:hAnsi="Times New Roman" w:cs="Times New Roman"/>
                <w:color w:val="000000"/>
                <w:lang w:val="mk-MK"/>
              </w:rPr>
            </w:pPr>
            <w:r w:rsidRPr="00B83803">
              <w:rPr>
                <w:rFonts w:ascii="Times New Roman" w:eastAsia="Times New Roman" w:hAnsi="Times New Roman" w:cs="Times New Roman"/>
                <w:color w:val="000000"/>
              </w:rPr>
              <w:t>25</w:t>
            </w:r>
            <w:r w:rsidRPr="00B654F2">
              <w:rPr>
                <w:rFonts w:ascii="Times New Roman" w:eastAsia="Times New Roman" w:hAnsi="Times New Roman" w:cs="Times New Roman"/>
                <w:color w:val="000000"/>
                <w:lang w:val="mk-MK"/>
              </w:rPr>
              <w:t>%**</w:t>
            </w:r>
          </w:p>
        </w:tc>
      </w:tr>
      <w:tr w:rsidR="00136EA9" w:rsidRPr="00B83803" w:rsidTr="00A06960">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36EA9" w:rsidRPr="00B83803" w:rsidRDefault="00136EA9" w:rsidP="00A06960">
            <w:pPr>
              <w:spacing w:after="0" w:line="240" w:lineRule="auto"/>
              <w:rPr>
                <w:rFonts w:ascii="Times New Roman" w:eastAsia="Times New Roman" w:hAnsi="Times New Roman" w:cs="Times New Roman"/>
                <w:b/>
                <w:color w:val="000000"/>
                <w:lang w:val="mk-MK"/>
              </w:rPr>
            </w:pPr>
            <w:proofErr w:type="spellStart"/>
            <w:r w:rsidRPr="00B83803">
              <w:rPr>
                <w:rFonts w:ascii="Times New Roman" w:eastAsia="Times New Roman" w:hAnsi="Times New Roman" w:cs="Times New Roman"/>
                <w:b/>
                <w:color w:val="000000"/>
              </w:rPr>
              <w:t>Црна</w:t>
            </w:r>
            <w:proofErr w:type="spellEnd"/>
            <w:r w:rsidRPr="00B83803">
              <w:rPr>
                <w:rFonts w:ascii="Times New Roman" w:eastAsia="Times New Roman" w:hAnsi="Times New Roman" w:cs="Times New Roman"/>
                <w:b/>
                <w:color w:val="000000"/>
              </w:rPr>
              <w:t xml:space="preserve"> </w:t>
            </w:r>
            <w:proofErr w:type="spellStart"/>
            <w:r w:rsidRPr="00B83803">
              <w:rPr>
                <w:rFonts w:ascii="Times New Roman" w:eastAsia="Times New Roman" w:hAnsi="Times New Roman" w:cs="Times New Roman"/>
                <w:b/>
                <w:color w:val="000000"/>
              </w:rPr>
              <w:t>Гора</w:t>
            </w:r>
            <w:proofErr w:type="spellEnd"/>
            <w:r w:rsidRPr="006238AF">
              <w:rPr>
                <w:rFonts w:ascii="Times New Roman" w:eastAsia="Times New Roman" w:hAnsi="Times New Roman" w:cs="Times New Roman"/>
                <w:b/>
                <w:color w:val="000000"/>
                <w:lang w:val="mk-MK"/>
              </w:rPr>
              <w:t>***</w:t>
            </w:r>
          </w:p>
        </w:tc>
        <w:tc>
          <w:tcPr>
            <w:tcW w:w="2706" w:type="dxa"/>
            <w:tcBorders>
              <w:top w:val="nil"/>
              <w:left w:val="nil"/>
              <w:bottom w:val="single" w:sz="4" w:space="0" w:color="auto"/>
              <w:right w:val="single" w:sz="4" w:space="0" w:color="auto"/>
            </w:tcBorders>
            <w:shd w:val="clear" w:color="auto" w:fill="auto"/>
            <w:noWrap/>
            <w:vAlign w:val="bottom"/>
            <w:hideMark/>
          </w:tcPr>
          <w:p w:rsidR="00136EA9" w:rsidRPr="00B83803" w:rsidRDefault="00136EA9" w:rsidP="00A06960">
            <w:pPr>
              <w:spacing w:after="0" w:line="240" w:lineRule="auto"/>
              <w:jc w:val="center"/>
              <w:rPr>
                <w:rFonts w:ascii="Times New Roman" w:eastAsia="Times New Roman" w:hAnsi="Times New Roman" w:cs="Times New Roman"/>
                <w:color w:val="000000"/>
              </w:rPr>
            </w:pPr>
            <w:r w:rsidRPr="00B83803">
              <w:rPr>
                <w:rFonts w:ascii="Times New Roman" w:eastAsia="Times New Roman" w:hAnsi="Times New Roman" w:cs="Times New Roman"/>
                <w:color w:val="000000"/>
              </w:rPr>
              <w:t>17</w:t>
            </w:r>
          </w:p>
        </w:tc>
        <w:tc>
          <w:tcPr>
            <w:tcW w:w="3260" w:type="dxa"/>
            <w:tcBorders>
              <w:top w:val="nil"/>
              <w:left w:val="nil"/>
              <w:bottom w:val="single" w:sz="4" w:space="0" w:color="auto"/>
              <w:right w:val="single" w:sz="4" w:space="0" w:color="auto"/>
            </w:tcBorders>
            <w:shd w:val="clear" w:color="auto" w:fill="auto"/>
            <w:noWrap/>
            <w:vAlign w:val="bottom"/>
            <w:hideMark/>
          </w:tcPr>
          <w:p w:rsidR="00136EA9" w:rsidRPr="00B83803" w:rsidRDefault="00136EA9" w:rsidP="00A06960">
            <w:pPr>
              <w:spacing w:after="0" w:line="240" w:lineRule="auto"/>
              <w:jc w:val="center"/>
              <w:rPr>
                <w:rFonts w:ascii="Times New Roman" w:eastAsia="Times New Roman" w:hAnsi="Times New Roman" w:cs="Times New Roman"/>
                <w:color w:val="000000"/>
                <w:lang w:val="mk-MK"/>
              </w:rPr>
            </w:pPr>
            <w:r w:rsidRPr="00B83803">
              <w:rPr>
                <w:rFonts w:ascii="Times New Roman" w:eastAsia="Times New Roman" w:hAnsi="Times New Roman" w:cs="Times New Roman"/>
                <w:color w:val="000000"/>
              </w:rPr>
              <w:t>71</w:t>
            </w:r>
            <w:r w:rsidRPr="00B654F2">
              <w:rPr>
                <w:rFonts w:ascii="Times New Roman" w:eastAsia="Times New Roman" w:hAnsi="Times New Roman" w:cs="Times New Roman"/>
                <w:color w:val="000000"/>
                <w:lang w:val="mk-MK"/>
              </w:rPr>
              <w:t>%</w:t>
            </w:r>
          </w:p>
        </w:tc>
      </w:tr>
      <w:tr w:rsidR="00136EA9" w:rsidRPr="00B83803" w:rsidTr="00A06960">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36EA9" w:rsidRPr="00B83803" w:rsidRDefault="00136EA9" w:rsidP="00A06960">
            <w:pPr>
              <w:spacing w:after="0" w:line="240" w:lineRule="auto"/>
              <w:rPr>
                <w:rFonts w:ascii="Times New Roman" w:eastAsia="Times New Roman" w:hAnsi="Times New Roman" w:cs="Times New Roman"/>
                <w:b/>
                <w:color w:val="000000"/>
              </w:rPr>
            </w:pPr>
            <w:proofErr w:type="spellStart"/>
            <w:r w:rsidRPr="00B83803">
              <w:rPr>
                <w:rFonts w:ascii="Times New Roman" w:eastAsia="Times New Roman" w:hAnsi="Times New Roman" w:cs="Times New Roman"/>
                <w:b/>
                <w:color w:val="000000"/>
              </w:rPr>
              <w:t>Србија</w:t>
            </w:r>
            <w:proofErr w:type="spellEnd"/>
            <w:r w:rsidRPr="006238AF">
              <w:rPr>
                <w:rFonts w:ascii="Times New Roman" w:eastAsia="Times New Roman" w:hAnsi="Times New Roman" w:cs="Times New Roman"/>
                <w:b/>
                <w:color w:val="000000"/>
              </w:rPr>
              <w:t>^^</w:t>
            </w:r>
          </w:p>
        </w:tc>
        <w:tc>
          <w:tcPr>
            <w:tcW w:w="2706" w:type="dxa"/>
            <w:tcBorders>
              <w:top w:val="nil"/>
              <w:left w:val="nil"/>
              <w:bottom w:val="single" w:sz="4" w:space="0" w:color="auto"/>
              <w:right w:val="single" w:sz="4" w:space="0" w:color="auto"/>
            </w:tcBorders>
            <w:shd w:val="clear" w:color="auto" w:fill="auto"/>
            <w:noWrap/>
            <w:vAlign w:val="bottom"/>
            <w:hideMark/>
          </w:tcPr>
          <w:p w:rsidR="00136EA9" w:rsidRPr="00B83803" w:rsidRDefault="00136EA9" w:rsidP="00A06960">
            <w:pPr>
              <w:spacing w:after="0" w:line="240" w:lineRule="auto"/>
              <w:jc w:val="center"/>
              <w:rPr>
                <w:rFonts w:ascii="Times New Roman" w:eastAsia="Times New Roman" w:hAnsi="Times New Roman" w:cs="Times New Roman"/>
                <w:color w:val="000000"/>
              </w:rPr>
            </w:pPr>
            <w:r w:rsidRPr="00B83803">
              <w:rPr>
                <w:rFonts w:ascii="Times New Roman" w:eastAsia="Times New Roman" w:hAnsi="Times New Roman" w:cs="Times New Roman"/>
                <w:color w:val="000000"/>
              </w:rPr>
              <w:t>32</w:t>
            </w:r>
          </w:p>
        </w:tc>
        <w:tc>
          <w:tcPr>
            <w:tcW w:w="3260" w:type="dxa"/>
            <w:tcBorders>
              <w:top w:val="nil"/>
              <w:left w:val="nil"/>
              <w:bottom w:val="single" w:sz="4" w:space="0" w:color="auto"/>
              <w:right w:val="single" w:sz="4" w:space="0" w:color="auto"/>
            </w:tcBorders>
            <w:shd w:val="clear" w:color="auto" w:fill="auto"/>
            <w:noWrap/>
            <w:vAlign w:val="bottom"/>
            <w:hideMark/>
          </w:tcPr>
          <w:p w:rsidR="00136EA9" w:rsidRPr="00B83803" w:rsidRDefault="00136EA9" w:rsidP="00A06960">
            <w:pPr>
              <w:spacing w:after="0" w:line="240" w:lineRule="auto"/>
              <w:jc w:val="center"/>
              <w:rPr>
                <w:rFonts w:ascii="Times New Roman" w:eastAsia="Times New Roman" w:hAnsi="Times New Roman" w:cs="Times New Roman"/>
                <w:color w:val="000000"/>
                <w:lang w:val="mk-MK"/>
              </w:rPr>
            </w:pPr>
            <w:r w:rsidRPr="00B83803">
              <w:rPr>
                <w:rFonts w:ascii="Times New Roman" w:eastAsia="Times New Roman" w:hAnsi="Times New Roman" w:cs="Times New Roman"/>
                <w:color w:val="000000"/>
              </w:rPr>
              <w:t>62.5</w:t>
            </w:r>
            <w:r w:rsidRPr="00B654F2">
              <w:rPr>
                <w:rFonts w:ascii="Times New Roman" w:eastAsia="Times New Roman" w:hAnsi="Times New Roman" w:cs="Times New Roman"/>
                <w:color w:val="000000"/>
                <w:lang w:val="mk-MK"/>
              </w:rPr>
              <w:t>%</w:t>
            </w:r>
          </w:p>
        </w:tc>
      </w:tr>
      <w:tr w:rsidR="00136EA9" w:rsidRPr="00B83803" w:rsidTr="00A06960">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36EA9" w:rsidRPr="00B83803" w:rsidRDefault="00136EA9" w:rsidP="00A06960">
            <w:pPr>
              <w:spacing w:after="0" w:line="240" w:lineRule="auto"/>
              <w:rPr>
                <w:rFonts w:ascii="Times New Roman" w:eastAsia="Times New Roman" w:hAnsi="Times New Roman" w:cs="Times New Roman"/>
                <w:b/>
                <w:color w:val="000000"/>
              </w:rPr>
            </w:pPr>
            <w:proofErr w:type="spellStart"/>
            <w:r w:rsidRPr="00B83803">
              <w:rPr>
                <w:rFonts w:ascii="Times New Roman" w:eastAsia="Times New Roman" w:hAnsi="Times New Roman" w:cs="Times New Roman"/>
                <w:b/>
                <w:color w:val="000000"/>
              </w:rPr>
              <w:t>Хрватска</w:t>
            </w:r>
            <w:proofErr w:type="spellEnd"/>
            <w:r w:rsidRPr="006238AF">
              <w:rPr>
                <w:rFonts w:ascii="Times New Roman" w:eastAsia="Times New Roman" w:hAnsi="Times New Roman" w:cs="Times New Roman"/>
                <w:b/>
                <w:color w:val="000000"/>
              </w:rPr>
              <w:t>^^</w:t>
            </w:r>
          </w:p>
        </w:tc>
        <w:tc>
          <w:tcPr>
            <w:tcW w:w="2706" w:type="dxa"/>
            <w:tcBorders>
              <w:top w:val="nil"/>
              <w:left w:val="nil"/>
              <w:bottom w:val="single" w:sz="4" w:space="0" w:color="auto"/>
              <w:right w:val="single" w:sz="4" w:space="0" w:color="auto"/>
            </w:tcBorders>
            <w:shd w:val="clear" w:color="auto" w:fill="auto"/>
            <w:noWrap/>
            <w:vAlign w:val="bottom"/>
            <w:hideMark/>
          </w:tcPr>
          <w:p w:rsidR="00136EA9" w:rsidRPr="00B83803" w:rsidRDefault="00136EA9" w:rsidP="00A06960">
            <w:pPr>
              <w:spacing w:after="0" w:line="240" w:lineRule="auto"/>
              <w:jc w:val="center"/>
              <w:rPr>
                <w:rFonts w:ascii="Times New Roman" w:eastAsia="Times New Roman" w:hAnsi="Times New Roman" w:cs="Times New Roman"/>
                <w:color w:val="000000"/>
              </w:rPr>
            </w:pPr>
            <w:r w:rsidRPr="00B83803">
              <w:rPr>
                <w:rFonts w:ascii="Times New Roman" w:eastAsia="Times New Roman" w:hAnsi="Times New Roman" w:cs="Times New Roman"/>
                <w:color w:val="000000"/>
              </w:rPr>
              <w:t>56</w:t>
            </w:r>
          </w:p>
        </w:tc>
        <w:tc>
          <w:tcPr>
            <w:tcW w:w="3260" w:type="dxa"/>
            <w:tcBorders>
              <w:top w:val="nil"/>
              <w:left w:val="nil"/>
              <w:bottom w:val="single" w:sz="4" w:space="0" w:color="auto"/>
              <w:right w:val="single" w:sz="4" w:space="0" w:color="auto"/>
            </w:tcBorders>
            <w:shd w:val="clear" w:color="auto" w:fill="auto"/>
            <w:noWrap/>
            <w:vAlign w:val="bottom"/>
            <w:hideMark/>
          </w:tcPr>
          <w:p w:rsidR="00136EA9" w:rsidRPr="00B83803" w:rsidRDefault="00136EA9" w:rsidP="00A06960">
            <w:pPr>
              <w:spacing w:after="0" w:line="240" w:lineRule="auto"/>
              <w:jc w:val="center"/>
              <w:rPr>
                <w:rFonts w:ascii="Times New Roman" w:eastAsia="Times New Roman" w:hAnsi="Times New Roman" w:cs="Times New Roman"/>
                <w:color w:val="000000"/>
                <w:lang w:val="mk-MK"/>
              </w:rPr>
            </w:pPr>
            <w:r w:rsidRPr="00B83803">
              <w:rPr>
                <w:rFonts w:ascii="Times New Roman" w:eastAsia="Times New Roman" w:hAnsi="Times New Roman" w:cs="Times New Roman"/>
                <w:color w:val="000000"/>
              </w:rPr>
              <w:t>66</w:t>
            </w:r>
            <w:r w:rsidRPr="00B654F2">
              <w:rPr>
                <w:rFonts w:ascii="Times New Roman" w:eastAsia="Times New Roman" w:hAnsi="Times New Roman" w:cs="Times New Roman"/>
                <w:color w:val="000000"/>
                <w:lang w:val="mk-MK"/>
              </w:rPr>
              <w:t>%</w:t>
            </w:r>
          </w:p>
        </w:tc>
      </w:tr>
    </w:tbl>
    <w:p w:rsidR="00136EA9" w:rsidRPr="00B654F2" w:rsidRDefault="00136EA9" w:rsidP="00136EA9">
      <w:pPr>
        <w:spacing w:after="0" w:line="240" w:lineRule="auto"/>
        <w:ind w:left="720"/>
        <w:rPr>
          <w:rFonts w:ascii="Times New Roman" w:hAnsi="Times New Roman" w:cs="Times New Roman"/>
          <w:sz w:val="20"/>
          <w:szCs w:val="20"/>
          <w:lang w:val="mk-MK"/>
        </w:rPr>
      </w:pPr>
      <w:r>
        <w:rPr>
          <w:rFonts w:ascii="Times New Roman" w:hAnsi="Times New Roman" w:cs="Times New Roman"/>
          <w:sz w:val="20"/>
          <w:szCs w:val="20"/>
          <w:lang w:val="mk-MK"/>
        </w:rPr>
        <w:t xml:space="preserve">     </w:t>
      </w:r>
      <w:r w:rsidRPr="00B654F2">
        <w:rPr>
          <w:rFonts w:ascii="Times New Roman" w:hAnsi="Times New Roman" w:cs="Times New Roman"/>
          <w:sz w:val="20"/>
          <w:szCs w:val="20"/>
          <w:lang w:val="mk-MK"/>
        </w:rPr>
        <w:t xml:space="preserve">Извор: </w:t>
      </w:r>
      <w:r w:rsidRPr="00B654F2">
        <w:rPr>
          <w:rFonts w:ascii="Times New Roman" w:hAnsi="Times New Roman" w:cs="Times New Roman"/>
          <w:sz w:val="20"/>
          <w:szCs w:val="20"/>
        </w:rPr>
        <w:t>*</w:t>
      </w:r>
      <w:r w:rsidRPr="00B654F2">
        <w:rPr>
          <w:rFonts w:ascii="Times New Roman" w:hAnsi="Times New Roman" w:cs="Times New Roman"/>
          <w:sz w:val="20"/>
          <w:szCs w:val="20"/>
          <w:lang w:val="mk-MK"/>
        </w:rPr>
        <w:t xml:space="preserve">Годишен Извештај на КЗК за *2017 и 2016** </w:t>
      </w:r>
    </w:p>
    <w:p w:rsidR="00136EA9" w:rsidRPr="00B654F2" w:rsidRDefault="00136EA9" w:rsidP="00136EA9">
      <w:pPr>
        <w:spacing w:after="0" w:line="240" w:lineRule="auto"/>
        <w:rPr>
          <w:rFonts w:ascii="Times New Roman" w:hAnsi="Times New Roman" w:cs="Times New Roman"/>
          <w:sz w:val="20"/>
          <w:szCs w:val="20"/>
        </w:rPr>
      </w:pPr>
      <w:r w:rsidRPr="00B654F2">
        <w:rPr>
          <w:rFonts w:ascii="Times New Roman" w:hAnsi="Times New Roman" w:cs="Times New Roman"/>
          <w:sz w:val="20"/>
          <w:szCs w:val="20"/>
          <w:lang w:val="mk-MK"/>
        </w:rPr>
        <w:t xml:space="preserve">      </w:t>
      </w:r>
      <w:r>
        <w:rPr>
          <w:rFonts w:ascii="Times New Roman" w:hAnsi="Times New Roman" w:cs="Times New Roman"/>
          <w:sz w:val="20"/>
          <w:szCs w:val="20"/>
          <w:lang w:val="mk-MK"/>
        </w:rPr>
        <w:tab/>
      </w:r>
      <w:r w:rsidRPr="00B654F2">
        <w:rPr>
          <w:rFonts w:ascii="Times New Roman" w:hAnsi="Times New Roman" w:cs="Times New Roman"/>
          <w:sz w:val="20"/>
          <w:szCs w:val="20"/>
          <w:lang w:val="mk-MK"/>
        </w:rPr>
        <w:t xml:space="preserve">       </w:t>
      </w:r>
      <w:r w:rsidRPr="00B654F2">
        <w:rPr>
          <w:rFonts w:ascii="Times New Roman" w:hAnsi="Times New Roman" w:cs="Times New Roman"/>
          <w:sz w:val="20"/>
          <w:szCs w:val="20"/>
        </w:rPr>
        <w:t>***</w:t>
      </w:r>
      <w:proofErr w:type="spellStart"/>
      <w:r w:rsidRPr="00B654F2">
        <w:rPr>
          <w:rFonts w:ascii="Times New Roman" w:hAnsi="Times New Roman" w:cs="Times New Roman"/>
          <w:sz w:val="20"/>
          <w:szCs w:val="20"/>
        </w:rPr>
        <w:t>Izvestaj</w:t>
      </w:r>
      <w:proofErr w:type="spellEnd"/>
      <w:r w:rsidRPr="00B654F2">
        <w:rPr>
          <w:rFonts w:ascii="Times New Roman" w:hAnsi="Times New Roman" w:cs="Times New Roman"/>
          <w:sz w:val="20"/>
          <w:szCs w:val="20"/>
        </w:rPr>
        <w:t xml:space="preserve"> o </w:t>
      </w:r>
      <w:proofErr w:type="spellStart"/>
      <w:r w:rsidRPr="00B654F2">
        <w:rPr>
          <w:rFonts w:ascii="Times New Roman" w:hAnsi="Times New Roman" w:cs="Times New Roman"/>
          <w:sz w:val="20"/>
          <w:szCs w:val="20"/>
        </w:rPr>
        <w:t>radu</w:t>
      </w:r>
      <w:proofErr w:type="spellEnd"/>
      <w:r w:rsidRPr="00B654F2">
        <w:rPr>
          <w:rFonts w:ascii="Times New Roman" w:hAnsi="Times New Roman" w:cs="Times New Roman"/>
          <w:sz w:val="20"/>
          <w:szCs w:val="20"/>
        </w:rPr>
        <w:t xml:space="preserve"> </w:t>
      </w:r>
      <w:proofErr w:type="spellStart"/>
      <w:r w:rsidRPr="00B654F2">
        <w:rPr>
          <w:rFonts w:ascii="Times New Roman" w:hAnsi="Times New Roman" w:cs="Times New Roman"/>
          <w:sz w:val="20"/>
          <w:szCs w:val="20"/>
        </w:rPr>
        <w:t>za</w:t>
      </w:r>
      <w:proofErr w:type="spellEnd"/>
      <w:r w:rsidRPr="00B654F2">
        <w:rPr>
          <w:rFonts w:ascii="Times New Roman" w:hAnsi="Times New Roman" w:cs="Times New Roman"/>
          <w:sz w:val="20"/>
          <w:szCs w:val="20"/>
        </w:rPr>
        <w:t xml:space="preserve"> 2017 </w:t>
      </w:r>
      <w:proofErr w:type="spellStart"/>
      <w:r w:rsidRPr="00B654F2">
        <w:rPr>
          <w:rFonts w:ascii="Times New Roman" w:hAnsi="Times New Roman" w:cs="Times New Roman"/>
          <w:sz w:val="20"/>
          <w:szCs w:val="20"/>
        </w:rPr>
        <w:t>Godinu</w:t>
      </w:r>
      <w:proofErr w:type="spellEnd"/>
      <w:r w:rsidRPr="00B654F2">
        <w:rPr>
          <w:rFonts w:ascii="Times New Roman" w:hAnsi="Times New Roman" w:cs="Times New Roman"/>
          <w:sz w:val="20"/>
          <w:szCs w:val="20"/>
        </w:rPr>
        <w:t xml:space="preserve">, </w:t>
      </w:r>
      <w:proofErr w:type="spellStart"/>
      <w:r w:rsidRPr="00B654F2">
        <w:rPr>
          <w:rFonts w:ascii="Times New Roman" w:hAnsi="Times New Roman" w:cs="Times New Roman"/>
          <w:sz w:val="20"/>
          <w:szCs w:val="20"/>
        </w:rPr>
        <w:t>Agencija</w:t>
      </w:r>
      <w:proofErr w:type="spellEnd"/>
      <w:r w:rsidRPr="00B654F2">
        <w:rPr>
          <w:rFonts w:ascii="Times New Roman" w:hAnsi="Times New Roman" w:cs="Times New Roman"/>
          <w:sz w:val="20"/>
          <w:szCs w:val="20"/>
        </w:rPr>
        <w:t xml:space="preserve"> </w:t>
      </w:r>
      <w:proofErr w:type="spellStart"/>
      <w:r w:rsidRPr="00B654F2">
        <w:rPr>
          <w:rFonts w:ascii="Times New Roman" w:hAnsi="Times New Roman" w:cs="Times New Roman"/>
          <w:sz w:val="20"/>
          <w:szCs w:val="20"/>
        </w:rPr>
        <w:t>za</w:t>
      </w:r>
      <w:proofErr w:type="spellEnd"/>
      <w:r w:rsidRPr="00B654F2">
        <w:rPr>
          <w:rFonts w:ascii="Times New Roman" w:hAnsi="Times New Roman" w:cs="Times New Roman"/>
          <w:sz w:val="20"/>
          <w:szCs w:val="20"/>
        </w:rPr>
        <w:t xml:space="preserve"> </w:t>
      </w:r>
      <w:proofErr w:type="spellStart"/>
      <w:r w:rsidRPr="00B654F2">
        <w:rPr>
          <w:rFonts w:ascii="Times New Roman" w:hAnsi="Times New Roman" w:cs="Times New Roman"/>
          <w:sz w:val="20"/>
          <w:szCs w:val="20"/>
        </w:rPr>
        <w:t>zastitu</w:t>
      </w:r>
      <w:proofErr w:type="spellEnd"/>
      <w:r w:rsidRPr="00B654F2">
        <w:rPr>
          <w:rFonts w:ascii="Times New Roman" w:hAnsi="Times New Roman" w:cs="Times New Roman"/>
          <w:sz w:val="20"/>
          <w:szCs w:val="20"/>
        </w:rPr>
        <w:t xml:space="preserve"> </w:t>
      </w:r>
      <w:proofErr w:type="spellStart"/>
      <w:r w:rsidRPr="00B654F2">
        <w:rPr>
          <w:rFonts w:ascii="Times New Roman" w:hAnsi="Times New Roman" w:cs="Times New Roman"/>
          <w:sz w:val="20"/>
          <w:szCs w:val="20"/>
        </w:rPr>
        <w:t>konurencije</w:t>
      </w:r>
      <w:proofErr w:type="spellEnd"/>
      <w:r w:rsidRPr="00B654F2">
        <w:rPr>
          <w:rFonts w:ascii="Times New Roman" w:hAnsi="Times New Roman" w:cs="Times New Roman"/>
          <w:sz w:val="20"/>
          <w:szCs w:val="20"/>
        </w:rPr>
        <w:t xml:space="preserve"> </w:t>
      </w:r>
      <w:proofErr w:type="spellStart"/>
      <w:r w:rsidRPr="00B654F2">
        <w:rPr>
          <w:rFonts w:ascii="Times New Roman" w:hAnsi="Times New Roman" w:cs="Times New Roman"/>
          <w:sz w:val="20"/>
          <w:szCs w:val="20"/>
        </w:rPr>
        <w:t>Crna</w:t>
      </w:r>
      <w:proofErr w:type="spellEnd"/>
      <w:r w:rsidRPr="00B654F2">
        <w:rPr>
          <w:rFonts w:ascii="Times New Roman" w:hAnsi="Times New Roman" w:cs="Times New Roman"/>
          <w:sz w:val="20"/>
          <w:szCs w:val="20"/>
        </w:rPr>
        <w:t xml:space="preserve"> Gora, </w:t>
      </w:r>
      <w:proofErr w:type="spellStart"/>
      <w:r w:rsidRPr="00B654F2">
        <w:rPr>
          <w:rFonts w:ascii="Times New Roman" w:hAnsi="Times New Roman" w:cs="Times New Roman"/>
          <w:sz w:val="20"/>
          <w:szCs w:val="20"/>
        </w:rPr>
        <w:t>maj</w:t>
      </w:r>
      <w:proofErr w:type="spellEnd"/>
      <w:r w:rsidRPr="00B654F2">
        <w:rPr>
          <w:rFonts w:ascii="Times New Roman" w:hAnsi="Times New Roman" w:cs="Times New Roman"/>
          <w:sz w:val="20"/>
          <w:szCs w:val="20"/>
        </w:rPr>
        <w:t xml:space="preserve"> 2017</w:t>
      </w:r>
    </w:p>
    <w:p w:rsidR="00136EA9" w:rsidRPr="00B654F2" w:rsidRDefault="00136EA9" w:rsidP="00136EA9">
      <w:pPr>
        <w:spacing w:after="0" w:line="240" w:lineRule="auto"/>
        <w:rPr>
          <w:rFonts w:ascii="Times New Roman" w:hAnsi="Times New Roman" w:cs="Times New Roman"/>
          <w:sz w:val="20"/>
          <w:szCs w:val="20"/>
          <w:lang w:val="mk-MK"/>
        </w:rPr>
      </w:pPr>
      <w:r w:rsidRPr="00B654F2">
        <w:rPr>
          <w:rFonts w:ascii="Times New Roman" w:hAnsi="Times New Roman" w:cs="Times New Roman"/>
          <w:sz w:val="20"/>
          <w:szCs w:val="20"/>
        </w:rPr>
        <w:t xml:space="preserve">         </w:t>
      </w:r>
      <w:r>
        <w:rPr>
          <w:rFonts w:ascii="Times New Roman" w:hAnsi="Times New Roman" w:cs="Times New Roman"/>
          <w:sz w:val="20"/>
          <w:szCs w:val="20"/>
        </w:rPr>
        <w:tab/>
      </w:r>
      <w:r w:rsidRPr="00B654F2">
        <w:rPr>
          <w:rFonts w:ascii="Times New Roman" w:hAnsi="Times New Roman" w:cs="Times New Roman"/>
          <w:sz w:val="20"/>
          <w:szCs w:val="20"/>
        </w:rPr>
        <w:t xml:space="preserve">   </w:t>
      </w:r>
      <w:r>
        <w:rPr>
          <w:rFonts w:ascii="Times New Roman" w:hAnsi="Times New Roman" w:cs="Times New Roman"/>
          <w:sz w:val="20"/>
          <w:szCs w:val="20"/>
          <w:lang w:val="mk-MK"/>
        </w:rPr>
        <w:t xml:space="preserve">    </w:t>
      </w:r>
      <w:r w:rsidRPr="00B654F2">
        <w:rPr>
          <w:rFonts w:ascii="Times New Roman" w:hAnsi="Times New Roman" w:cs="Times New Roman"/>
          <w:sz w:val="20"/>
          <w:szCs w:val="20"/>
        </w:rPr>
        <w:t xml:space="preserve"> ^^ МЦЕО и ФООМ (2014)</w:t>
      </w:r>
      <w:r w:rsidRPr="00B654F2">
        <w:rPr>
          <w:rFonts w:ascii="Times New Roman" w:hAnsi="Times New Roman" w:cs="Times New Roman"/>
          <w:sz w:val="20"/>
          <w:szCs w:val="20"/>
          <w:lang w:val="mk-MK"/>
        </w:rPr>
        <w:t xml:space="preserve">, податоците за Србија и Хрватска се </w:t>
      </w:r>
      <w:proofErr w:type="spellStart"/>
      <w:r w:rsidRPr="00B654F2">
        <w:rPr>
          <w:rFonts w:ascii="Times New Roman" w:hAnsi="Times New Roman" w:cs="Times New Roman"/>
          <w:sz w:val="20"/>
          <w:szCs w:val="20"/>
          <w:lang w:val="mk-MK"/>
        </w:rPr>
        <w:t>оденсуваат</w:t>
      </w:r>
      <w:proofErr w:type="spellEnd"/>
      <w:r w:rsidRPr="00B654F2">
        <w:rPr>
          <w:rFonts w:ascii="Times New Roman" w:hAnsi="Times New Roman" w:cs="Times New Roman"/>
          <w:sz w:val="20"/>
          <w:szCs w:val="20"/>
          <w:lang w:val="mk-MK"/>
        </w:rPr>
        <w:t xml:space="preserve"> за 2012 година</w:t>
      </w:r>
      <w:r w:rsidRPr="00B654F2">
        <w:rPr>
          <w:rFonts w:ascii="Times New Roman" w:hAnsi="Times New Roman" w:cs="Times New Roman"/>
          <w:sz w:val="20"/>
          <w:szCs w:val="20"/>
          <w:lang w:val="mk-MK"/>
        </w:rPr>
        <w:tab/>
      </w:r>
    </w:p>
    <w:p w:rsidR="00136EA9" w:rsidRPr="00B654F2" w:rsidRDefault="00136EA9" w:rsidP="00136EA9">
      <w:pPr>
        <w:rPr>
          <w:rFonts w:ascii="Times New Roman" w:hAnsi="Times New Roman" w:cs="Times New Roman"/>
          <w:sz w:val="24"/>
          <w:szCs w:val="24"/>
          <w:lang w:val="mk-MK"/>
        </w:rPr>
      </w:pPr>
    </w:p>
    <w:p w:rsidR="00136EA9" w:rsidRPr="00B654F2" w:rsidRDefault="00136EA9" w:rsidP="00136EA9">
      <w:pPr>
        <w:jc w:val="both"/>
        <w:rPr>
          <w:rFonts w:ascii="Times New Roman" w:hAnsi="Times New Roman" w:cs="Times New Roman"/>
          <w:sz w:val="24"/>
          <w:szCs w:val="24"/>
          <w:lang w:val="mk-MK"/>
        </w:rPr>
      </w:pPr>
      <w:r w:rsidRPr="00B654F2">
        <w:rPr>
          <w:rFonts w:ascii="Times New Roman" w:hAnsi="Times New Roman" w:cs="Times New Roman"/>
          <w:sz w:val="24"/>
          <w:szCs w:val="24"/>
          <w:lang w:val="mk-MK"/>
        </w:rPr>
        <w:t xml:space="preserve">Слабите резултати за кадровскиот капацитет на овие </w:t>
      </w:r>
      <w:proofErr w:type="spellStart"/>
      <w:r w:rsidRPr="00B654F2">
        <w:rPr>
          <w:rFonts w:ascii="Times New Roman" w:hAnsi="Times New Roman" w:cs="Times New Roman"/>
          <w:sz w:val="24"/>
          <w:szCs w:val="24"/>
          <w:lang w:val="mk-MK"/>
        </w:rPr>
        <w:t>регулаторни</w:t>
      </w:r>
      <w:proofErr w:type="spellEnd"/>
      <w:r w:rsidRPr="00B654F2">
        <w:rPr>
          <w:rFonts w:ascii="Times New Roman" w:hAnsi="Times New Roman" w:cs="Times New Roman"/>
          <w:sz w:val="24"/>
          <w:szCs w:val="24"/>
          <w:lang w:val="mk-MK"/>
        </w:rPr>
        <w:t xml:space="preserve"> тела е одлика на речиси на сите земји во регионот (</w:t>
      </w:r>
      <w:proofErr w:type="spellStart"/>
      <w:r w:rsidRPr="00B654F2">
        <w:rPr>
          <w:rFonts w:ascii="Times New Roman" w:hAnsi="Times New Roman" w:cs="Times New Roman"/>
          <w:sz w:val="24"/>
          <w:szCs w:val="24"/>
        </w:rPr>
        <w:t>Penev</w:t>
      </w:r>
      <w:proofErr w:type="spellEnd"/>
      <w:r w:rsidRPr="00B654F2">
        <w:rPr>
          <w:rFonts w:ascii="Times New Roman" w:hAnsi="Times New Roman" w:cs="Times New Roman"/>
          <w:sz w:val="24"/>
          <w:szCs w:val="24"/>
        </w:rPr>
        <w:t xml:space="preserve"> et al, 2013</w:t>
      </w:r>
      <w:r w:rsidRPr="00B654F2">
        <w:rPr>
          <w:rFonts w:ascii="Times New Roman" w:hAnsi="Times New Roman" w:cs="Times New Roman"/>
          <w:sz w:val="24"/>
          <w:szCs w:val="24"/>
          <w:lang w:val="mk-MK"/>
        </w:rPr>
        <w:t>, ЕК (2019</w:t>
      </w:r>
      <w:r w:rsidRPr="00B654F2">
        <w:rPr>
          <w:rFonts w:ascii="Times New Roman" w:hAnsi="Times New Roman" w:cs="Times New Roman"/>
          <w:sz w:val="24"/>
          <w:szCs w:val="24"/>
        </w:rPr>
        <w:t>)</w:t>
      </w:r>
      <w:r w:rsidRPr="00B654F2">
        <w:rPr>
          <w:rFonts w:ascii="Times New Roman" w:hAnsi="Times New Roman" w:cs="Times New Roman"/>
          <w:sz w:val="24"/>
          <w:szCs w:val="24"/>
          <w:lang w:val="mk-MK"/>
        </w:rPr>
        <w:t>, EC (2019a), EC(2019b))</w:t>
      </w:r>
      <w:r w:rsidRPr="00B654F2">
        <w:rPr>
          <w:rFonts w:ascii="Times New Roman" w:hAnsi="Times New Roman" w:cs="Times New Roman"/>
          <w:sz w:val="24"/>
          <w:szCs w:val="24"/>
        </w:rPr>
        <w:t>.</w:t>
      </w:r>
      <w:r w:rsidRPr="00B654F2">
        <w:rPr>
          <w:rFonts w:ascii="Times New Roman" w:hAnsi="Times New Roman" w:cs="Times New Roman"/>
          <w:sz w:val="24"/>
          <w:szCs w:val="24"/>
          <w:lang w:val="mk-MK"/>
        </w:rPr>
        <w:t xml:space="preserve"> Заложби за јакнење на пазарната конкуренција во регионот, очекуваните позитивни ефекти од формирањето на Регионалната економска област за земјите од Западниот Балкан, реализацијата на соработката во рамките на земјите потписнички на ЦЕФТА договорот остануваат само на декларативни изјави. Слабите институции не се во можност да се справата со негативните ефекти од монополското однесување на фирмите на нивните пазари, економиите страдаат од </w:t>
      </w:r>
      <w:proofErr w:type="spellStart"/>
      <w:r w:rsidRPr="00B654F2">
        <w:rPr>
          <w:rFonts w:ascii="Times New Roman" w:hAnsi="Times New Roman" w:cs="Times New Roman"/>
          <w:sz w:val="24"/>
          <w:szCs w:val="24"/>
          <w:lang w:val="mk-MK"/>
        </w:rPr>
        <w:t>алокативна</w:t>
      </w:r>
      <w:proofErr w:type="spellEnd"/>
      <w:r w:rsidRPr="00B654F2">
        <w:rPr>
          <w:rFonts w:ascii="Times New Roman" w:hAnsi="Times New Roman" w:cs="Times New Roman"/>
          <w:sz w:val="24"/>
          <w:szCs w:val="24"/>
          <w:lang w:val="mk-MK"/>
        </w:rPr>
        <w:t xml:space="preserve"> неефикасност, а очекуваните ефекти од динамичка ефикасност што слободниот пазар треба да ги испорача отсуствуваат во сите земји од регионот. Нивните компании се неконкурентни и тешко се борат во зачувувањето постојните и освојување на нови пазари</w:t>
      </w:r>
      <w:r>
        <w:rPr>
          <w:rFonts w:ascii="Times New Roman" w:hAnsi="Times New Roman" w:cs="Times New Roman"/>
          <w:sz w:val="24"/>
          <w:szCs w:val="24"/>
          <w:lang w:val="mk-MK"/>
        </w:rPr>
        <w:t xml:space="preserve"> во регионот и пошироко</w:t>
      </w:r>
      <w:r w:rsidRPr="00B654F2">
        <w:rPr>
          <w:rFonts w:ascii="Times New Roman" w:hAnsi="Times New Roman" w:cs="Times New Roman"/>
          <w:sz w:val="24"/>
          <w:szCs w:val="24"/>
          <w:lang w:val="mk-MK"/>
        </w:rPr>
        <w:t xml:space="preserve">.  </w:t>
      </w:r>
    </w:p>
    <w:p w:rsidR="00136EA9" w:rsidRPr="00B654F2" w:rsidRDefault="001B0461" w:rsidP="00136EA9">
      <w:pPr>
        <w:rPr>
          <w:rFonts w:ascii="Times New Roman" w:hAnsi="Times New Roman" w:cs="Times New Roman"/>
          <w:b/>
          <w:sz w:val="24"/>
          <w:szCs w:val="24"/>
          <w:lang w:val="mk-MK"/>
        </w:rPr>
      </w:pPr>
      <w:r>
        <w:rPr>
          <w:rFonts w:ascii="Times New Roman" w:hAnsi="Times New Roman" w:cs="Times New Roman"/>
          <w:b/>
          <w:sz w:val="24"/>
          <w:szCs w:val="24"/>
          <w:lang w:val="mk-MK"/>
        </w:rPr>
        <w:t>Табела</w:t>
      </w:r>
      <w:r>
        <w:rPr>
          <w:rFonts w:ascii="Times New Roman" w:hAnsi="Times New Roman" w:cs="Times New Roman"/>
          <w:b/>
          <w:sz w:val="24"/>
          <w:szCs w:val="24"/>
        </w:rPr>
        <w:t xml:space="preserve"> </w:t>
      </w:r>
      <w:r>
        <w:rPr>
          <w:rFonts w:ascii="Times New Roman" w:hAnsi="Times New Roman" w:cs="Times New Roman"/>
          <w:b/>
          <w:sz w:val="24"/>
          <w:szCs w:val="24"/>
          <w:lang w:val="mk-MK"/>
        </w:rPr>
        <w:t>6:</w:t>
      </w:r>
      <w:r w:rsidR="00136EA9" w:rsidRPr="00B654F2">
        <w:rPr>
          <w:rFonts w:ascii="Times New Roman" w:hAnsi="Times New Roman" w:cs="Times New Roman"/>
          <w:b/>
          <w:sz w:val="24"/>
          <w:szCs w:val="24"/>
          <w:lang w:val="mk-MK"/>
        </w:rPr>
        <w:t xml:space="preserve"> Проценка на ЕК административниот капацитет за спроведување на ЗЗК</w:t>
      </w:r>
    </w:p>
    <w:tbl>
      <w:tblPr>
        <w:tblW w:w="6238" w:type="dxa"/>
        <w:jc w:val="center"/>
        <w:tblLook w:val="04A0" w:firstRow="1" w:lastRow="0" w:firstColumn="1" w:lastColumn="0" w:noHBand="0" w:noVBand="1"/>
      </w:tblPr>
      <w:tblGrid>
        <w:gridCol w:w="2122"/>
        <w:gridCol w:w="4116"/>
      </w:tblGrid>
      <w:tr w:rsidR="00136EA9" w:rsidRPr="00E42C97" w:rsidTr="00A06960">
        <w:trPr>
          <w:trHeight w:val="900"/>
          <w:jc w:val="center"/>
        </w:trPr>
        <w:tc>
          <w:tcPr>
            <w:tcW w:w="2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136EA9" w:rsidRPr="00E42C97" w:rsidRDefault="00136EA9" w:rsidP="00A06960">
            <w:pPr>
              <w:spacing w:after="0" w:line="240" w:lineRule="auto"/>
              <w:rPr>
                <w:rFonts w:ascii="Times New Roman" w:eastAsia="Times New Roman" w:hAnsi="Times New Roman" w:cs="Times New Roman"/>
                <w:color w:val="000000"/>
                <w:sz w:val="24"/>
                <w:szCs w:val="24"/>
              </w:rPr>
            </w:pPr>
            <w:proofErr w:type="spellStart"/>
            <w:r w:rsidRPr="00E42C97">
              <w:rPr>
                <w:rFonts w:ascii="Times New Roman" w:eastAsia="Times New Roman" w:hAnsi="Times New Roman" w:cs="Times New Roman"/>
                <w:color w:val="000000"/>
                <w:sz w:val="24"/>
                <w:szCs w:val="24"/>
              </w:rPr>
              <w:t>Северна</w:t>
            </w:r>
            <w:proofErr w:type="spellEnd"/>
            <w:r w:rsidRPr="00E42C97">
              <w:rPr>
                <w:rFonts w:ascii="Times New Roman" w:eastAsia="Times New Roman" w:hAnsi="Times New Roman" w:cs="Times New Roman"/>
                <w:color w:val="000000"/>
                <w:sz w:val="24"/>
                <w:szCs w:val="24"/>
              </w:rPr>
              <w:t xml:space="preserve"> </w:t>
            </w:r>
            <w:proofErr w:type="spellStart"/>
            <w:r w:rsidRPr="00E42C97">
              <w:rPr>
                <w:rFonts w:ascii="Times New Roman" w:eastAsia="Times New Roman" w:hAnsi="Times New Roman" w:cs="Times New Roman"/>
                <w:color w:val="000000"/>
                <w:sz w:val="24"/>
                <w:szCs w:val="24"/>
              </w:rPr>
              <w:t>Македонија</w:t>
            </w:r>
            <w:proofErr w:type="spellEnd"/>
          </w:p>
        </w:tc>
        <w:tc>
          <w:tcPr>
            <w:tcW w:w="4116" w:type="dxa"/>
            <w:tcBorders>
              <w:top w:val="single" w:sz="4" w:space="0" w:color="auto"/>
              <w:left w:val="nil"/>
              <w:bottom w:val="single" w:sz="4" w:space="0" w:color="auto"/>
              <w:right w:val="single" w:sz="4" w:space="0" w:color="auto"/>
            </w:tcBorders>
            <w:shd w:val="clear" w:color="auto" w:fill="auto"/>
            <w:vAlign w:val="bottom"/>
            <w:hideMark/>
          </w:tcPr>
          <w:p w:rsidR="00136EA9" w:rsidRPr="00E42C97" w:rsidRDefault="00136EA9" w:rsidP="00A06960">
            <w:pPr>
              <w:spacing w:after="0" w:line="240" w:lineRule="auto"/>
              <w:jc w:val="center"/>
              <w:rPr>
                <w:rFonts w:ascii="Times New Roman" w:eastAsia="Times New Roman" w:hAnsi="Times New Roman" w:cs="Times New Roman"/>
                <w:i/>
                <w:color w:val="000000"/>
                <w:lang w:val="mk-MK"/>
              </w:rPr>
            </w:pPr>
            <w:proofErr w:type="spellStart"/>
            <w:r w:rsidRPr="00B654F2">
              <w:rPr>
                <w:rFonts w:ascii="Times New Roman" w:eastAsia="Times New Roman" w:hAnsi="Times New Roman" w:cs="Times New Roman"/>
                <w:i/>
                <w:color w:val="000000"/>
              </w:rPr>
              <w:t>Нивото</w:t>
            </w:r>
            <w:proofErr w:type="spellEnd"/>
            <w:r w:rsidRPr="00B654F2">
              <w:rPr>
                <w:rFonts w:ascii="Times New Roman" w:eastAsia="Times New Roman" w:hAnsi="Times New Roman" w:cs="Times New Roman"/>
                <w:i/>
                <w:color w:val="000000"/>
              </w:rPr>
              <w:t xml:space="preserve"> </w:t>
            </w:r>
            <w:proofErr w:type="spellStart"/>
            <w:r w:rsidRPr="00B654F2">
              <w:rPr>
                <w:rFonts w:ascii="Times New Roman" w:eastAsia="Times New Roman" w:hAnsi="Times New Roman" w:cs="Times New Roman"/>
                <w:i/>
                <w:color w:val="000000"/>
              </w:rPr>
              <w:t>на</w:t>
            </w:r>
            <w:proofErr w:type="spellEnd"/>
            <w:r w:rsidRPr="00B654F2">
              <w:rPr>
                <w:rFonts w:ascii="Times New Roman" w:eastAsia="Times New Roman" w:hAnsi="Times New Roman" w:cs="Times New Roman"/>
                <w:i/>
                <w:color w:val="000000"/>
              </w:rPr>
              <w:t xml:space="preserve"> </w:t>
            </w:r>
            <w:proofErr w:type="spellStart"/>
            <w:r w:rsidRPr="00B654F2">
              <w:rPr>
                <w:rFonts w:ascii="Times New Roman" w:eastAsia="Times New Roman" w:hAnsi="Times New Roman" w:cs="Times New Roman"/>
                <w:i/>
                <w:color w:val="000000"/>
              </w:rPr>
              <w:t>експертиза</w:t>
            </w:r>
            <w:proofErr w:type="spellEnd"/>
            <w:r w:rsidRPr="00B654F2">
              <w:rPr>
                <w:rFonts w:ascii="Times New Roman" w:eastAsia="Times New Roman" w:hAnsi="Times New Roman" w:cs="Times New Roman"/>
                <w:i/>
                <w:color w:val="000000"/>
              </w:rPr>
              <w:t xml:space="preserve"> </w:t>
            </w:r>
            <w:proofErr w:type="spellStart"/>
            <w:r w:rsidRPr="00B654F2">
              <w:rPr>
                <w:rFonts w:ascii="Times New Roman" w:eastAsia="Times New Roman" w:hAnsi="Times New Roman" w:cs="Times New Roman"/>
                <w:i/>
                <w:color w:val="000000"/>
              </w:rPr>
              <w:t>треба</w:t>
            </w:r>
            <w:proofErr w:type="spellEnd"/>
            <w:r w:rsidRPr="00B654F2">
              <w:rPr>
                <w:rFonts w:ascii="Times New Roman" w:eastAsia="Times New Roman" w:hAnsi="Times New Roman" w:cs="Times New Roman"/>
                <w:i/>
                <w:color w:val="000000"/>
              </w:rPr>
              <w:t xml:space="preserve"> </w:t>
            </w:r>
            <w:proofErr w:type="spellStart"/>
            <w:r w:rsidRPr="00B654F2">
              <w:rPr>
                <w:rFonts w:ascii="Times New Roman" w:eastAsia="Times New Roman" w:hAnsi="Times New Roman" w:cs="Times New Roman"/>
                <w:i/>
                <w:color w:val="000000"/>
              </w:rPr>
              <w:t>да</w:t>
            </w:r>
            <w:proofErr w:type="spellEnd"/>
            <w:r w:rsidRPr="00B654F2">
              <w:rPr>
                <w:rFonts w:ascii="Times New Roman" w:eastAsia="Times New Roman" w:hAnsi="Times New Roman" w:cs="Times New Roman"/>
                <w:i/>
                <w:color w:val="000000"/>
              </w:rPr>
              <w:t xml:space="preserve"> </w:t>
            </w:r>
            <w:proofErr w:type="spellStart"/>
            <w:r w:rsidRPr="00B654F2">
              <w:rPr>
                <w:rFonts w:ascii="Times New Roman" w:eastAsia="Times New Roman" w:hAnsi="Times New Roman" w:cs="Times New Roman"/>
                <w:i/>
                <w:color w:val="000000"/>
              </w:rPr>
              <w:t>се</w:t>
            </w:r>
            <w:proofErr w:type="spellEnd"/>
            <w:r w:rsidRPr="00B654F2">
              <w:rPr>
                <w:rFonts w:ascii="Times New Roman" w:eastAsia="Times New Roman" w:hAnsi="Times New Roman" w:cs="Times New Roman"/>
                <w:i/>
                <w:color w:val="000000"/>
              </w:rPr>
              <w:t xml:space="preserve"> </w:t>
            </w:r>
            <w:proofErr w:type="spellStart"/>
            <w:r w:rsidRPr="00B654F2">
              <w:rPr>
                <w:rFonts w:ascii="Times New Roman" w:eastAsia="Times New Roman" w:hAnsi="Times New Roman" w:cs="Times New Roman"/>
                <w:i/>
                <w:color w:val="000000"/>
              </w:rPr>
              <w:t>подобри</w:t>
            </w:r>
            <w:proofErr w:type="spellEnd"/>
          </w:p>
        </w:tc>
      </w:tr>
      <w:tr w:rsidR="00136EA9" w:rsidRPr="00E42C97" w:rsidTr="00A06960">
        <w:trPr>
          <w:trHeight w:val="525"/>
          <w:jc w:val="center"/>
        </w:trPr>
        <w:tc>
          <w:tcPr>
            <w:tcW w:w="212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36EA9" w:rsidRPr="00E42C97" w:rsidRDefault="00136EA9" w:rsidP="00A06960">
            <w:pPr>
              <w:spacing w:after="0" w:line="240" w:lineRule="auto"/>
              <w:rPr>
                <w:rFonts w:ascii="Times New Roman" w:eastAsia="Times New Roman" w:hAnsi="Times New Roman" w:cs="Times New Roman"/>
                <w:color w:val="000000"/>
                <w:sz w:val="24"/>
                <w:szCs w:val="24"/>
              </w:rPr>
            </w:pPr>
            <w:proofErr w:type="spellStart"/>
            <w:r w:rsidRPr="00E42C97">
              <w:rPr>
                <w:rFonts w:ascii="Times New Roman" w:eastAsia="Times New Roman" w:hAnsi="Times New Roman" w:cs="Times New Roman"/>
                <w:color w:val="000000"/>
                <w:sz w:val="24"/>
                <w:szCs w:val="24"/>
              </w:rPr>
              <w:lastRenderedPageBreak/>
              <w:t>Црна</w:t>
            </w:r>
            <w:proofErr w:type="spellEnd"/>
            <w:r w:rsidRPr="00E42C97">
              <w:rPr>
                <w:rFonts w:ascii="Times New Roman" w:eastAsia="Times New Roman" w:hAnsi="Times New Roman" w:cs="Times New Roman"/>
                <w:color w:val="000000"/>
                <w:sz w:val="24"/>
                <w:szCs w:val="24"/>
              </w:rPr>
              <w:t xml:space="preserve"> </w:t>
            </w:r>
            <w:proofErr w:type="spellStart"/>
            <w:r w:rsidRPr="00E42C97">
              <w:rPr>
                <w:rFonts w:ascii="Times New Roman" w:eastAsia="Times New Roman" w:hAnsi="Times New Roman" w:cs="Times New Roman"/>
                <w:color w:val="000000"/>
                <w:sz w:val="24"/>
                <w:szCs w:val="24"/>
              </w:rPr>
              <w:t>Гора</w:t>
            </w:r>
            <w:proofErr w:type="spellEnd"/>
          </w:p>
        </w:tc>
        <w:tc>
          <w:tcPr>
            <w:tcW w:w="4116" w:type="dxa"/>
            <w:tcBorders>
              <w:top w:val="single" w:sz="4" w:space="0" w:color="auto"/>
              <w:left w:val="nil"/>
              <w:bottom w:val="single" w:sz="4" w:space="0" w:color="auto"/>
              <w:right w:val="single" w:sz="4" w:space="0" w:color="auto"/>
            </w:tcBorders>
            <w:shd w:val="clear" w:color="auto" w:fill="auto"/>
            <w:vAlign w:val="bottom"/>
            <w:hideMark/>
          </w:tcPr>
          <w:p w:rsidR="00136EA9" w:rsidRPr="00E42C97" w:rsidRDefault="00136EA9" w:rsidP="00A06960">
            <w:pPr>
              <w:spacing w:after="0" w:line="240" w:lineRule="auto"/>
              <w:jc w:val="center"/>
              <w:rPr>
                <w:rFonts w:ascii="Times New Roman" w:eastAsia="Times New Roman" w:hAnsi="Times New Roman" w:cs="Times New Roman"/>
                <w:i/>
                <w:color w:val="000000"/>
              </w:rPr>
            </w:pPr>
            <w:proofErr w:type="spellStart"/>
            <w:r w:rsidRPr="00E42C97">
              <w:rPr>
                <w:rFonts w:ascii="Times New Roman" w:eastAsia="Times New Roman" w:hAnsi="Times New Roman" w:cs="Times New Roman"/>
                <w:i/>
                <w:color w:val="000000"/>
              </w:rPr>
              <w:t>Неефикасен</w:t>
            </w:r>
            <w:proofErr w:type="spellEnd"/>
            <w:r w:rsidRPr="00E42C97">
              <w:rPr>
                <w:rFonts w:ascii="Times New Roman" w:eastAsia="Times New Roman" w:hAnsi="Times New Roman" w:cs="Times New Roman"/>
                <w:i/>
                <w:color w:val="000000"/>
              </w:rPr>
              <w:t xml:space="preserve"> и</w:t>
            </w:r>
            <w:r w:rsidRPr="00B654F2">
              <w:rPr>
                <w:rFonts w:ascii="Times New Roman" w:eastAsia="Times New Roman" w:hAnsi="Times New Roman" w:cs="Times New Roman"/>
                <w:i/>
                <w:color w:val="000000"/>
                <w:lang w:val="mk-MK"/>
              </w:rPr>
              <w:t xml:space="preserve"> </w:t>
            </w:r>
            <w:proofErr w:type="spellStart"/>
            <w:r w:rsidRPr="00E42C97">
              <w:rPr>
                <w:rFonts w:ascii="Times New Roman" w:eastAsia="Times New Roman" w:hAnsi="Times New Roman" w:cs="Times New Roman"/>
                <w:i/>
                <w:color w:val="000000"/>
              </w:rPr>
              <w:t>неадекватен</w:t>
            </w:r>
            <w:proofErr w:type="spellEnd"/>
          </w:p>
        </w:tc>
      </w:tr>
      <w:tr w:rsidR="00136EA9" w:rsidRPr="00E42C97" w:rsidTr="00A06960">
        <w:trPr>
          <w:trHeight w:val="480"/>
          <w:jc w:val="center"/>
        </w:trPr>
        <w:tc>
          <w:tcPr>
            <w:tcW w:w="212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36EA9" w:rsidRPr="00E42C97" w:rsidRDefault="00136EA9" w:rsidP="00A06960">
            <w:pPr>
              <w:spacing w:after="0" w:line="240" w:lineRule="auto"/>
              <w:rPr>
                <w:rFonts w:ascii="Times New Roman" w:eastAsia="Times New Roman" w:hAnsi="Times New Roman" w:cs="Times New Roman"/>
                <w:color w:val="000000"/>
                <w:sz w:val="24"/>
                <w:szCs w:val="24"/>
              </w:rPr>
            </w:pPr>
            <w:proofErr w:type="spellStart"/>
            <w:r w:rsidRPr="00E42C97">
              <w:rPr>
                <w:rFonts w:ascii="Times New Roman" w:eastAsia="Times New Roman" w:hAnsi="Times New Roman" w:cs="Times New Roman"/>
                <w:color w:val="000000"/>
                <w:sz w:val="24"/>
                <w:szCs w:val="24"/>
              </w:rPr>
              <w:t>Србија</w:t>
            </w:r>
            <w:proofErr w:type="spellEnd"/>
          </w:p>
        </w:tc>
        <w:tc>
          <w:tcPr>
            <w:tcW w:w="4116" w:type="dxa"/>
            <w:tcBorders>
              <w:top w:val="single" w:sz="4" w:space="0" w:color="auto"/>
              <w:left w:val="nil"/>
              <w:bottom w:val="single" w:sz="4" w:space="0" w:color="auto"/>
              <w:right w:val="single" w:sz="4" w:space="0" w:color="auto"/>
            </w:tcBorders>
            <w:shd w:val="clear" w:color="auto" w:fill="auto"/>
            <w:noWrap/>
            <w:vAlign w:val="bottom"/>
            <w:hideMark/>
          </w:tcPr>
          <w:p w:rsidR="00136EA9" w:rsidRPr="00E42C97" w:rsidRDefault="00136EA9" w:rsidP="00A06960">
            <w:pPr>
              <w:spacing w:after="0" w:line="240" w:lineRule="auto"/>
              <w:jc w:val="center"/>
              <w:rPr>
                <w:rFonts w:ascii="Times New Roman" w:eastAsia="Times New Roman" w:hAnsi="Times New Roman" w:cs="Times New Roman"/>
                <w:i/>
                <w:color w:val="000000"/>
              </w:rPr>
            </w:pPr>
            <w:proofErr w:type="spellStart"/>
            <w:r w:rsidRPr="00E42C97">
              <w:rPr>
                <w:rFonts w:ascii="Times New Roman" w:eastAsia="Times New Roman" w:hAnsi="Times New Roman" w:cs="Times New Roman"/>
                <w:i/>
                <w:color w:val="000000"/>
              </w:rPr>
              <w:t>Неефикасен</w:t>
            </w:r>
            <w:proofErr w:type="spellEnd"/>
            <w:r w:rsidRPr="00E42C97">
              <w:rPr>
                <w:rFonts w:ascii="Times New Roman" w:eastAsia="Times New Roman" w:hAnsi="Times New Roman" w:cs="Times New Roman"/>
                <w:i/>
                <w:color w:val="000000"/>
              </w:rPr>
              <w:t xml:space="preserve"> </w:t>
            </w:r>
          </w:p>
        </w:tc>
      </w:tr>
    </w:tbl>
    <w:p w:rsidR="00136EA9" w:rsidRPr="00B654F2" w:rsidRDefault="00136EA9" w:rsidP="00136EA9">
      <w:pPr>
        <w:ind w:left="720" w:firstLine="720"/>
        <w:rPr>
          <w:rFonts w:ascii="Times New Roman" w:hAnsi="Times New Roman" w:cs="Times New Roman"/>
          <w:sz w:val="20"/>
          <w:szCs w:val="20"/>
        </w:rPr>
      </w:pPr>
      <w:r w:rsidRPr="00B654F2">
        <w:rPr>
          <w:rFonts w:ascii="Times New Roman" w:hAnsi="Times New Roman" w:cs="Times New Roman"/>
          <w:sz w:val="20"/>
          <w:szCs w:val="20"/>
          <w:lang w:val="mk-MK"/>
        </w:rPr>
        <w:t>Извор: ЕК</w:t>
      </w:r>
      <w:r w:rsidRPr="00B654F2">
        <w:rPr>
          <w:rFonts w:ascii="Times New Roman" w:hAnsi="Times New Roman" w:cs="Times New Roman"/>
          <w:sz w:val="20"/>
          <w:szCs w:val="20"/>
        </w:rPr>
        <w:t xml:space="preserve"> (2019)</w:t>
      </w:r>
      <w:r w:rsidRPr="00B654F2">
        <w:rPr>
          <w:rFonts w:ascii="Times New Roman" w:hAnsi="Times New Roman" w:cs="Times New Roman"/>
          <w:sz w:val="20"/>
          <w:szCs w:val="20"/>
          <w:lang w:val="mk-MK"/>
        </w:rPr>
        <w:t xml:space="preserve">: Извештаи за напредокот на </w:t>
      </w:r>
      <w:proofErr w:type="spellStart"/>
      <w:r w:rsidRPr="00B654F2">
        <w:rPr>
          <w:rFonts w:ascii="Times New Roman" w:hAnsi="Times New Roman" w:cs="Times New Roman"/>
          <w:sz w:val="20"/>
          <w:szCs w:val="20"/>
          <w:lang w:val="mk-MK"/>
        </w:rPr>
        <w:t>РС.Македонија</w:t>
      </w:r>
      <w:proofErr w:type="spellEnd"/>
      <w:r w:rsidRPr="00B654F2">
        <w:rPr>
          <w:rFonts w:ascii="Times New Roman" w:hAnsi="Times New Roman" w:cs="Times New Roman"/>
          <w:sz w:val="20"/>
          <w:szCs w:val="20"/>
          <w:lang w:val="mk-MK"/>
        </w:rPr>
        <w:t>, Црна Гора и Србија</w:t>
      </w:r>
    </w:p>
    <w:p w:rsidR="006238AF" w:rsidRDefault="003468E8" w:rsidP="00EC76A2">
      <w:pPr>
        <w:jc w:val="both"/>
        <w:rPr>
          <w:rFonts w:ascii="Times New Roman" w:hAnsi="Times New Roman" w:cs="Times New Roman"/>
          <w:sz w:val="24"/>
          <w:szCs w:val="24"/>
          <w:lang w:val="mk-MK"/>
        </w:rPr>
      </w:pPr>
      <w:proofErr w:type="spellStart"/>
      <w:r w:rsidRPr="003468E8">
        <w:rPr>
          <w:rFonts w:ascii="Times New Roman" w:hAnsi="Times New Roman" w:cs="Times New Roman"/>
          <w:sz w:val="24"/>
          <w:szCs w:val="24"/>
        </w:rPr>
        <w:t>Оттука</w:t>
      </w:r>
      <w:proofErr w:type="spellEnd"/>
      <w:r>
        <w:rPr>
          <w:rFonts w:ascii="Times New Roman" w:hAnsi="Times New Roman" w:cs="Times New Roman"/>
          <w:sz w:val="24"/>
          <w:szCs w:val="24"/>
          <w:lang w:val="mk-MK"/>
        </w:rPr>
        <w:t>,</w:t>
      </w:r>
      <w:r w:rsidRPr="003468E8">
        <w:rPr>
          <w:rFonts w:ascii="Times New Roman" w:hAnsi="Times New Roman" w:cs="Times New Roman"/>
          <w:sz w:val="24"/>
          <w:szCs w:val="24"/>
        </w:rPr>
        <w:t xml:space="preserve"> </w:t>
      </w:r>
      <w:r w:rsidRPr="003468E8">
        <w:rPr>
          <w:rFonts w:ascii="Times New Roman" w:hAnsi="Times New Roman" w:cs="Times New Roman"/>
          <w:sz w:val="24"/>
          <w:szCs w:val="24"/>
          <w:lang w:val="mk-MK"/>
        </w:rPr>
        <w:t xml:space="preserve">доаѓа </w:t>
      </w:r>
      <w:r>
        <w:rPr>
          <w:rFonts w:ascii="Times New Roman" w:hAnsi="Times New Roman" w:cs="Times New Roman"/>
          <w:sz w:val="24"/>
          <w:szCs w:val="24"/>
          <w:lang w:val="mk-MK"/>
        </w:rPr>
        <w:t>и заклучокот на Европската комисија дека земјите во регионов реално се нед</w:t>
      </w:r>
      <w:r w:rsidR="00EC76A2">
        <w:rPr>
          <w:rFonts w:ascii="Times New Roman" w:hAnsi="Times New Roman" w:cs="Times New Roman"/>
          <w:sz w:val="24"/>
          <w:szCs w:val="24"/>
          <w:lang w:val="mk-MK"/>
        </w:rPr>
        <w:t xml:space="preserve">оволно подготвени во напорите за промоција и поддршка на политиката за заштита на конкуренцијата. Недоволниот или несоодветен административен капацитет на институциите не може соодветно да одговори на потребата од доследно спроведување на </w:t>
      </w:r>
      <w:proofErr w:type="spellStart"/>
      <w:r w:rsidR="00EC76A2">
        <w:rPr>
          <w:rFonts w:ascii="Times New Roman" w:hAnsi="Times New Roman" w:cs="Times New Roman"/>
          <w:sz w:val="24"/>
          <w:szCs w:val="24"/>
          <w:lang w:val="mk-MK"/>
        </w:rPr>
        <w:t>антитрустовкста</w:t>
      </w:r>
      <w:proofErr w:type="spellEnd"/>
      <w:r w:rsidR="00EC76A2">
        <w:rPr>
          <w:rFonts w:ascii="Times New Roman" w:hAnsi="Times New Roman" w:cs="Times New Roman"/>
          <w:sz w:val="24"/>
          <w:szCs w:val="24"/>
          <w:lang w:val="mk-MK"/>
        </w:rPr>
        <w:t xml:space="preserve"> регулатива. </w:t>
      </w:r>
    </w:p>
    <w:p w:rsidR="00F072AA" w:rsidRDefault="00F072AA">
      <w:pPr>
        <w:rPr>
          <w:rFonts w:ascii="Times New Roman" w:hAnsi="Times New Roman" w:cs="Times New Roman"/>
          <w:b/>
          <w:sz w:val="24"/>
          <w:szCs w:val="24"/>
          <w:lang w:val="mk-MK"/>
        </w:rPr>
      </w:pPr>
    </w:p>
    <w:p w:rsidR="00872DC9" w:rsidRDefault="008840AE">
      <w:pPr>
        <w:rPr>
          <w:rFonts w:ascii="Times New Roman" w:hAnsi="Times New Roman" w:cs="Times New Roman"/>
          <w:b/>
          <w:sz w:val="24"/>
          <w:szCs w:val="24"/>
          <w:lang w:val="mk-MK"/>
        </w:rPr>
      </w:pPr>
      <w:r w:rsidRPr="00B654F2">
        <w:rPr>
          <w:rFonts w:ascii="Times New Roman" w:hAnsi="Times New Roman" w:cs="Times New Roman"/>
          <w:b/>
          <w:sz w:val="24"/>
          <w:szCs w:val="24"/>
          <w:lang w:val="mk-MK"/>
        </w:rPr>
        <w:t xml:space="preserve">4. </w:t>
      </w:r>
      <w:r w:rsidR="00DD1B66" w:rsidRPr="00B654F2">
        <w:rPr>
          <w:rFonts w:ascii="Times New Roman" w:hAnsi="Times New Roman" w:cs="Times New Roman"/>
          <w:b/>
          <w:sz w:val="24"/>
          <w:szCs w:val="24"/>
          <w:lang w:val="mk-MK"/>
        </w:rPr>
        <w:t>Дискусија и препораки</w:t>
      </w:r>
    </w:p>
    <w:p w:rsidR="00F8016B" w:rsidRDefault="000A1DD9" w:rsidP="005D7038">
      <w:pPr>
        <w:spacing w:line="276" w:lineRule="auto"/>
        <w:jc w:val="both"/>
        <w:rPr>
          <w:rFonts w:ascii="Times New Roman" w:hAnsi="Times New Roman" w:cs="Times New Roman"/>
          <w:sz w:val="24"/>
          <w:szCs w:val="24"/>
          <w:lang w:val="mk-MK"/>
        </w:rPr>
      </w:pPr>
      <w:r w:rsidRPr="005D7038">
        <w:rPr>
          <w:rFonts w:ascii="Times New Roman" w:hAnsi="Times New Roman" w:cs="Times New Roman"/>
          <w:sz w:val="24"/>
          <w:szCs w:val="24"/>
          <w:lang w:val="mk-MK"/>
        </w:rPr>
        <w:t xml:space="preserve">Од </w:t>
      </w:r>
      <w:r w:rsidR="00000A3D" w:rsidRPr="005D7038">
        <w:rPr>
          <w:rFonts w:ascii="Times New Roman" w:hAnsi="Times New Roman" w:cs="Times New Roman"/>
          <w:sz w:val="24"/>
          <w:szCs w:val="24"/>
          <w:lang w:val="mk-MK"/>
        </w:rPr>
        <w:t>емпириската анализа</w:t>
      </w:r>
      <w:r w:rsidRPr="005D7038">
        <w:rPr>
          <w:rFonts w:ascii="Times New Roman" w:hAnsi="Times New Roman" w:cs="Times New Roman"/>
          <w:sz w:val="24"/>
          <w:szCs w:val="24"/>
          <w:lang w:val="mk-MK"/>
        </w:rPr>
        <w:t xml:space="preserve"> за обемот и структурата на извршените активности на КЗК во период од 2010 до 2018 година, како општ заклучок може да констатираме дека оваа институција бележи скромни резултати во доменот на поттикнувањето и заштитата на пазарната конкуренција. Иако расте бројот на постапките насочени кон детекција на </w:t>
      </w:r>
      <w:proofErr w:type="spellStart"/>
      <w:r w:rsidRPr="005D7038">
        <w:rPr>
          <w:rFonts w:ascii="Times New Roman" w:hAnsi="Times New Roman" w:cs="Times New Roman"/>
          <w:sz w:val="24"/>
          <w:szCs w:val="24"/>
          <w:lang w:val="mk-MK"/>
        </w:rPr>
        <w:t>картелското</w:t>
      </w:r>
      <w:proofErr w:type="spellEnd"/>
      <w:r w:rsidRPr="005D7038">
        <w:rPr>
          <w:rFonts w:ascii="Times New Roman" w:hAnsi="Times New Roman" w:cs="Times New Roman"/>
          <w:sz w:val="24"/>
          <w:szCs w:val="24"/>
          <w:lang w:val="mk-MK"/>
        </w:rPr>
        <w:t xml:space="preserve"> здружување на фирмите, и износот на пресметани и изречени парични казни формално се зголемува, сепак суштинските ефекти изостануваат. </w:t>
      </w:r>
      <w:r w:rsidR="00000A3D" w:rsidRPr="005D7038">
        <w:rPr>
          <w:rFonts w:ascii="Times New Roman" w:hAnsi="Times New Roman" w:cs="Times New Roman"/>
          <w:sz w:val="24"/>
          <w:szCs w:val="24"/>
          <w:lang w:val="mk-MK"/>
        </w:rPr>
        <w:t>Законски утврдената цел, обезбедување на слободна конкуренција на домашниот пазар заради поттикнување на економската ефикасност и благосостојба на потрошувачите, сè уште останува само декларативно поставена цел.</w:t>
      </w:r>
      <w:r w:rsidR="006F7FD4" w:rsidRPr="005D7038">
        <w:rPr>
          <w:rFonts w:ascii="Times New Roman" w:hAnsi="Times New Roman" w:cs="Times New Roman"/>
          <w:sz w:val="24"/>
          <w:szCs w:val="24"/>
          <w:lang w:val="mk-MK"/>
        </w:rPr>
        <w:t xml:space="preserve"> П</w:t>
      </w:r>
      <w:r w:rsidR="00000A3D" w:rsidRPr="005D7038">
        <w:rPr>
          <w:rFonts w:ascii="Times New Roman" w:hAnsi="Times New Roman" w:cs="Times New Roman"/>
          <w:sz w:val="24"/>
          <w:szCs w:val="24"/>
          <w:lang w:val="mk-MK"/>
        </w:rPr>
        <w:t>олитика</w:t>
      </w:r>
      <w:r w:rsidR="006F7FD4" w:rsidRPr="005D7038">
        <w:rPr>
          <w:rFonts w:ascii="Times New Roman" w:hAnsi="Times New Roman" w:cs="Times New Roman"/>
          <w:sz w:val="24"/>
          <w:szCs w:val="24"/>
          <w:lang w:val="mk-MK"/>
        </w:rPr>
        <w:t>та</w:t>
      </w:r>
      <w:r w:rsidR="00000A3D" w:rsidRPr="005D7038">
        <w:rPr>
          <w:rFonts w:ascii="Times New Roman" w:hAnsi="Times New Roman" w:cs="Times New Roman"/>
          <w:sz w:val="24"/>
          <w:szCs w:val="24"/>
          <w:lang w:val="mk-MK"/>
        </w:rPr>
        <w:t xml:space="preserve"> за заштита на конкуренцијата во голема мера е маргинализирана во с</w:t>
      </w:r>
      <w:r w:rsidR="006F7FD4" w:rsidRPr="005D7038">
        <w:rPr>
          <w:rFonts w:ascii="Times New Roman" w:hAnsi="Times New Roman" w:cs="Times New Roman"/>
          <w:sz w:val="24"/>
          <w:szCs w:val="24"/>
          <w:lang w:val="mk-MK"/>
        </w:rPr>
        <w:t>истемот на економските политики, а</w:t>
      </w:r>
      <w:r w:rsidR="00000A3D" w:rsidRPr="005D7038">
        <w:rPr>
          <w:rFonts w:ascii="Times New Roman" w:hAnsi="Times New Roman" w:cs="Times New Roman"/>
          <w:sz w:val="24"/>
          <w:szCs w:val="24"/>
          <w:lang w:val="mk-MK"/>
        </w:rPr>
        <w:t xml:space="preserve"> КЗК претставува само дел од новиот институционален декор. </w:t>
      </w:r>
    </w:p>
    <w:p w:rsidR="00000A3D" w:rsidRPr="00C93794" w:rsidRDefault="00000A3D" w:rsidP="00C93794">
      <w:pPr>
        <w:spacing w:line="276" w:lineRule="auto"/>
        <w:jc w:val="both"/>
        <w:rPr>
          <w:rFonts w:ascii="Times New Roman" w:hAnsi="Times New Roman" w:cs="Times New Roman"/>
          <w:sz w:val="24"/>
          <w:szCs w:val="24"/>
          <w:lang w:val="mk-MK"/>
        </w:rPr>
      </w:pPr>
      <w:r w:rsidRPr="005D7038">
        <w:rPr>
          <w:rFonts w:ascii="Times New Roman" w:hAnsi="Times New Roman" w:cs="Times New Roman"/>
          <w:sz w:val="24"/>
          <w:szCs w:val="24"/>
          <w:lang w:val="mk-MK"/>
        </w:rPr>
        <w:t>Попрецизно кажано</w:t>
      </w:r>
      <w:r w:rsidR="00F8016B">
        <w:rPr>
          <w:rFonts w:ascii="Times New Roman" w:hAnsi="Times New Roman" w:cs="Times New Roman"/>
          <w:sz w:val="24"/>
          <w:szCs w:val="24"/>
          <w:lang w:val="mk-MK"/>
        </w:rPr>
        <w:t xml:space="preserve">, </w:t>
      </w:r>
      <w:r w:rsidRPr="005D7038">
        <w:rPr>
          <w:rFonts w:ascii="Times New Roman" w:hAnsi="Times New Roman" w:cs="Times New Roman"/>
          <w:sz w:val="24"/>
          <w:szCs w:val="24"/>
          <w:lang w:val="mk-MK"/>
        </w:rPr>
        <w:t>конкретни</w:t>
      </w:r>
      <w:r w:rsidR="00F8016B">
        <w:rPr>
          <w:rFonts w:ascii="Times New Roman" w:hAnsi="Times New Roman" w:cs="Times New Roman"/>
          <w:sz w:val="24"/>
          <w:szCs w:val="24"/>
          <w:lang w:val="mk-MK"/>
        </w:rPr>
        <w:t>те</w:t>
      </w:r>
      <w:r w:rsidRPr="005D7038">
        <w:rPr>
          <w:rFonts w:ascii="Times New Roman" w:hAnsi="Times New Roman" w:cs="Times New Roman"/>
          <w:sz w:val="24"/>
          <w:szCs w:val="24"/>
          <w:lang w:val="mk-MK"/>
        </w:rPr>
        <w:t xml:space="preserve"> заклучоци кои произлег</w:t>
      </w:r>
      <w:r w:rsidR="00F8016B">
        <w:rPr>
          <w:rFonts w:ascii="Times New Roman" w:hAnsi="Times New Roman" w:cs="Times New Roman"/>
          <w:sz w:val="24"/>
          <w:szCs w:val="24"/>
          <w:lang w:val="mk-MK"/>
        </w:rPr>
        <w:t xml:space="preserve">уваат од анализите во </w:t>
      </w:r>
      <w:r w:rsidR="00F8016B" w:rsidRPr="00C93794">
        <w:rPr>
          <w:rFonts w:ascii="Times New Roman" w:hAnsi="Times New Roman" w:cs="Times New Roman"/>
          <w:sz w:val="24"/>
          <w:szCs w:val="24"/>
          <w:lang w:val="mk-MK"/>
        </w:rPr>
        <w:t>претходните точки укажуваат на следново</w:t>
      </w:r>
      <w:r w:rsidRPr="00C93794">
        <w:rPr>
          <w:rFonts w:ascii="Times New Roman" w:hAnsi="Times New Roman" w:cs="Times New Roman"/>
          <w:sz w:val="24"/>
          <w:szCs w:val="24"/>
          <w:lang w:val="mk-MK"/>
        </w:rPr>
        <w:t>:</w:t>
      </w:r>
    </w:p>
    <w:p w:rsidR="00000A3D" w:rsidRPr="00C93794" w:rsidRDefault="00000A3D" w:rsidP="00C93794">
      <w:pPr>
        <w:spacing w:line="276" w:lineRule="auto"/>
        <w:ind w:firstLine="720"/>
        <w:jc w:val="both"/>
        <w:rPr>
          <w:rFonts w:ascii="Times New Roman" w:hAnsi="Times New Roman" w:cs="Times New Roman"/>
          <w:sz w:val="24"/>
          <w:szCs w:val="24"/>
          <w:lang w:val="mk-MK"/>
        </w:rPr>
      </w:pPr>
      <w:r w:rsidRPr="00C93794">
        <w:rPr>
          <w:rFonts w:ascii="Times New Roman" w:hAnsi="Times New Roman" w:cs="Times New Roman"/>
          <w:sz w:val="24"/>
          <w:szCs w:val="24"/>
          <w:lang w:val="mk-MK"/>
        </w:rPr>
        <w:t xml:space="preserve">1.  Малиот обем на обработени предмети од областа за спречување на </w:t>
      </w:r>
      <w:proofErr w:type="spellStart"/>
      <w:r w:rsidRPr="00C93794">
        <w:rPr>
          <w:rFonts w:ascii="Times New Roman" w:hAnsi="Times New Roman" w:cs="Times New Roman"/>
          <w:sz w:val="24"/>
          <w:szCs w:val="24"/>
          <w:lang w:val="mk-MK"/>
        </w:rPr>
        <w:t>картелското</w:t>
      </w:r>
      <w:proofErr w:type="spellEnd"/>
      <w:r w:rsidRPr="00C93794">
        <w:rPr>
          <w:rFonts w:ascii="Times New Roman" w:hAnsi="Times New Roman" w:cs="Times New Roman"/>
          <w:sz w:val="24"/>
          <w:szCs w:val="24"/>
          <w:lang w:val="mk-MK"/>
        </w:rPr>
        <w:t xml:space="preserve"> здружување на фирмите укажува на тоа дека КЗК нема доволен институционален капацитет да се бори против најтешките форми на нарушување на пазарната конкуренција. Слабата борба против картелите, негативно се одразува врз ефикасната алокација на ресурсите во економијата, а со тоа се креираат и загуби во општествената благосостојба. </w:t>
      </w:r>
      <w:r w:rsidR="0055385F" w:rsidRPr="00C93794">
        <w:rPr>
          <w:rFonts w:ascii="Times New Roman" w:hAnsi="Times New Roman" w:cs="Times New Roman"/>
          <w:sz w:val="24"/>
          <w:szCs w:val="24"/>
          <w:lang w:val="mk-MK"/>
        </w:rPr>
        <w:t>Анализата на п</w:t>
      </w:r>
      <w:r w:rsidRPr="00C93794">
        <w:rPr>
          <w:rFonts w:ascii="Times New Roman" w:hAnsi="Times New Roman" w:cs="Times New Roman"/>
          <w:sz w:val="24"/>
          <w:szCs w:val="24"/>
          <w:lang w:val="mk-MK"/>
        </w:rPr>
        <w:t>редметите кои се однесуваат на злоупотребата на доминантната позиција на пазарот укажува на фактот дека најголем дел од нив</w:t>
      </w:r>
      <w:r w:rsidR="0055385F" w:rsidRPr="00C93794">
        <w:rPr>
          <w:rFonts w:ascii="Times New Roman" w:hAnsi="Times New Roman" w:cs="Times New Roman"/>
          <w:sz w:val="24"/>
          <w:szCs w:val="24"/>
          <w:lang w:val="mk-MK"/>
        </w:rPr>
        <w:t xml:space="preserve"> се однесуваат на фирми кои се од јавниот сектор кои</w:t>
      </w:r>
      <w:r w:rsidRPr="00C93794">
        <w:rPr>
          <w:rFonts w:ascii="Times New Roman" w:hAnsi="Times New Roman" w:cs="Times New Roman"/>
          <w:sz w:val="24"/>
          <w:szCs w:val="24"/>
          <w:lang w:val="mk-MK"/>
        </w:rPr>
        <w:t xml:space="preserve"> поседуваат монополски позиции на пазарот. Потоа, голем дел од казнетите фирми го повториле делото во текот на анализираниот период. Тоа упатува на фактот дека на тие пазари фирмите не се соочуваат со кредибилни ограничувања на патот кон злоупотребата на нивната пазарна моќ, од една страна, а од друга страна мерките кои ги презема КЗК се неефикасни. Значи, освен слабиот капацитет за борба со картелите, КЗК има анемичен однос и од аспект на потребата за менување на пазарните услови кои водат кон поттикнување на пазарната конкуренција. </w:t>
      </w:r>
    </w:p>
    <w:p w:rsidR="00000A3D" w:rsidRPr="00BE0220" w:rsidRDefault="00000A3D" w:rsidP="00C93794">
      <w:pPr>
        <w:spacing w:line="276" w:lineRule="auto"/>
        <w:ind w:firstLine="720"/>
        <w:jc w:val="both"/>
        <w:rPr>
          <w:rFonts w:ascii="Georgia" w:hAnsi="Georgia"/>
          <w:lang w:val="mk-MK"/>
        </w:rPr>
      </w:pPr>
      <w:r w:rsidRPr="00C93794">
        <w:rPr>
          <w:rFonts w:ascii="Times New Roman" w:hAnsi="Times New Roman" w:cs="Times New Roman"/>
          <w:sz w:val="24"/>
          <w:szCs w:val="24"/>
          <w:lang w:val="mk-MK"/>
        </w:rPr>
        <w:lastRenderedPageBreak/>
        <w:t xml:space="preserve">2. Во однос на изречените парични казни, според расположливите податоци не може да се добие директен заклучок за големината на казната во  однос на користа што ја остваруваат фирмите од примената на одредени недозволени </w:t>
      </w:r>
      <w:proofErr w:type="spellStart"/>
      <w:r w:rsidRPr="00C93794">
        <w:rPr>
          <w:rFonts w:ascii="Times New Roman" w:hAnsi="Times New Roman" w:cs="Times New Roman"/>
          <w:sz w:val="24"/>
          <w:szCs w:val="24"/>
          <w:lang w:val="mk-MK"/>
        </w:rPr>
        <w:t>антиконкурентски</w:t>
      </w:r>
      <w:proofErr w:type="spellEnd"/>
      <w:r w:rsidRPr="00C93794">
        <w:rPr>
          <w:rFonts w:ascii="Times New Roman" w:hAnsi="Times New Roman" w:cs="Times New Roman"/>
          <w:sz w:val="24"/>
          <w:szCs w:val="24"/>
          <w:lang w:val="mk-MK"/>
        </w:rPr>
        <w:t xml:space="preserve"> практики. Меѓутоа, индиректно според повеќекратно изречените парични казни на исти фирми за ист вид на сторен прекршок, можеме да заклучиме дека казните не се доволно големи за да ги одвратат фирмите од примена на недозволените форми на пазарно однесување, бидејќи и покрај казните фирмите најверојатно завршуваат со нето остварена корист. Ова упатува имплицитни сигнали до фирмите, кои делуваат на пазари што се одликуваат со поголем степен на </w:t>
      </w:r>
      <w:proofErr w:type="spellStart"/>
      <w:r w:rsidRPr="00C93794">
        <w:rPr>
          <w:rFonts w:ascii="Times New Roman" w:hAnsi="Times New Roman" w:cs="Times New Roman"/>
          <w:sz w:val="24"/>
          <w:szCs w:val="24"/>
          <w:lang w:val="mk-MK"/>
        </w:rPr>
        <w:t>концентрираност</w:t>
      </w:r>
      <w:proofErr w:type="spellEnd"/>
      <w:r w:rsidRPr="00C93794">
        <w:rPr>
          <w:rFonts w:ascii="Times New Roman" w:hAnsi="Times New Roman" w:cs="Times New Roman"/>
          <w:sz w:val="24"/>
          <w:szCs w:val="24"/>
          <w:lang w:val="mk-MK"/>
        </w:rPr>
        <w:t xml:space="preserve"> и на кои постојат услови на ограничена конкуренција, дека може покомотно да се препуштаат во одредени недозволени деловни практики. Можеме да заклучиме дека, очекуваниот ефект на одвраќање на фирмите од примена на </w:t>
      </w:r>
      <w:proofErr w:type="spellStart"/>
      <w:r w:rsidRPr="00C93794">
        <w:rPr>
          <w:rFonts w:ascii="Times New Roman" w:hAnsi="Times New Roman" w:cs="Times New Roman"/>
          <w:sz w:val="24"/>
          <w:szCs w:val="24"/>
          <w:lang w:val="mk-MK"/>
        </w:rPr>
        <w:t>антиконкурентски</w:t>
      </w:r>
      <w:proofErr w:type="spellEnd"/>
      <w:r w:rsidRPr="00C93794">
        <w:rPr>
          <w:rFonts w:ascii="Times New Roman" w:hAnsi="Times New Roman" w:cs="Times New Roman"/>
          <w:sz w:val="24"/>
          <w:szCs w:val="24"/>
          <w:lang w:val="mk-MK"/>
        </w:rPr>
        <w:t xml:space="preserve"> деловни стратегии (</w:t>
      </w:r>
      <w:proofErr w:type="spellStart"/>
      <w:r w:rsidRPr="00C93794">
        <w:rPr>
          <w:rFonts w:ascii="Times New Roman" w:hAnsi="Times New Roman" w:cs="Times New Roman"/>
          <w:sz w:val="24"/>
          <w:szCs w:val="24"/>
          <w:lang w:val="mk-MK"/>
        </w:rPr>
        <w:t>deterrence</w:t>
      </w:r>
      <w:proofErr w:type="spellEnd"/>
      <w:r w:rsidRPr="00C93794">
        <w:rPr>
          <w:rFonts w:ascii="Times New Roman" w:hAnsi="Times New Roman" w:cs="Times New Roman"/>
          <w:sz w:val="24"/>
          <w:szCs w:val="24"/>
          <w:lang w:val="mk-MK"/>
        </w:rPr>
        <w:t xml:space="preserve"> </w:t>
      </w:r>
      <w:proofErr w:type="spellStart"/>
      <w:r w:rsidRPr="00C93794">
        <w:rPr>
          <w:rFonts w:ascii="Times New Roman" w:hAnsi="Times New Roman" w:cs="Times New Roman"/>
          <w:sz w:val="24"/>
          <w:szCs w:val="24"/>
          <w:lang w:val="mk-MK"/>
        </w:rPr>
        <w:t>effect</w:t>
      </w:r>
      <w:proofErr w:type="spellEnd"/>
      <w:r w:rsidRPr="00C93794">
        <w:rPr>
          <w:rFonts w:ascii="Times New Roman" w:hAnsi="Times New Roman" w:cs="Times New Roman"/>
          <w:sz w:val="24"/>
          <w:szCs w:val="24"/>
          <w:lang w:val="mk-MK"/>
        </w:rPr>
        <w:t>) казнената политика на КЗК не го остварува</w:t>
      </w:r>
      <w:r w:rsidRPr="00BE0220">
        <w:rPr>
          <w:rFonts w:ascii="Georgia" w:hAnsi="Georgia"/>
          <w:lang w:val="mk-MK"/>
        </w:rPr>
        <w:t>.</w:t>
      </w:r>
    </w:p>
    <w:p w:rsidR="00000A3D" w:rsidRPr="001308AF" w:rsidRDefault="001308AF" w:rsidP="001308AF">
      <w:pPr>
        <w:spacing w:line="276" w:lineRule="auto"/>
        <w:ind w:firstLine="720"/>
        <w:jc w:val="both"/>
        <w:rPr>
          <w:rFonts w:ascii="Times New Roman" w:hAnsi="Times New Roman" w:cs="Times New Roman"/>
          <w:sz w:val="24"/>
          <w:szCs w:val="24"/>
          <w:lang w:val="mk-MK"/>
        </w:rPr>
      </w:pPr>
      <w:r w:rsidRPr="001308AF">
        <w:rPr>
          <w:rFonts w:ascii="Times New Roman" w:hAnsi="Times New Roman" w:cs="Times New Roman"/>
          <w:sz w:val="24"/>
          <w:szCs w:val="24"/>
          <w:lang w:val="mk-MK"/>
        </w:rPr>
        <w:t>3</w:t>
      </w:r>
      <w:r w:rsidR="00000A3D" w:rsidRPr="001308AF">
        <w:rPr>
          <w:rFonts w:ascii="Times New Roman" w:hAnsi="Times New Roman" w:cs="Times New Roman"/>
          <w:sz w:val="24"/>
          <w:szCs w:val="24"/>
          <w:lang w:val="mk-MK"/>
        </w:rPr>
        <w:t xml:space="preserve">. Во однос на исполнување на советодавната функција за прашања поврзани со примената на регулативата за заштита на конкуренцијата (т.н. </w:t>
      </w:r>
      <w:proofErr w:type="spellStart"/>
      <w:r w:rsidR="00000A3D" w:rsidRPr="001308AF">
        <w:rPr>
          <w:rFonts w:ascii="Times New Roman" w:hAnsi="Times New Roman" w:cs="Times New Roman"/>
          <w:sz w:val="24"/>
          <w:szCs w:val="24"/>
          <w:lang w:val="mk-MK"/>
        </w:rPr>
        <w:t>competition</w:t>
      </w:r>
      <w:proofErr w:type="spellEnd"/>
      <w:r w:rsidR="00000A3D" w:rsidRPr="001308AF">
        <w:rPr>
          <w:rFonts w:ascii="Times New Roman" w:hAnsi="Times New Roman" w:cs="Times New Roman"/>
          <w:sz w:val="24"/>
          <w:szCs w:val="24"/>
          <w:lang w:val="mk-MK"/>
        </w:rPr>
        <w:t xml:space="preserve"> </w:t>
      </w:r>
      <w:proofErr w:type="spellStart"/>
      <w:r w:rsidR="00000A3D" w:rsidRPr="001308AF">
        <w:rPr>
          <w:rFonts w:ascii="Times New Roman" w:hAnsi="Times New Roman" w:cs="Times New Roman"/>
          <w:sz w:val="24"/>
          <w:szCs w:val="24"/>
          <w:lang w:val="mk-MK"/>
        </w:rPr>
        <w:t>advocacy</w:t>
      </w:r>
      <w:proofErr w:type="spellEnd"/>
      <w:r w:rsidR="00000A3D" w:rsidRPr="001308AF">
        <w:rPr>
          <w:rFonts w:ascii="Times New Roman" w:hAnsi="Times New Roman" w:cs="Times New Roman"/>
          <w:sz w:val="24"/>
          <w:szCs w:val="24"/>
          <w:lang w:val="mk-MK"/>
        </w:rPr>
        <w:t xml:space="preserve">) КЗК исто така, покажува ниско ниво на ангажираност. Издадените мислења во </w:t>
      </w:r>
      <w:r>
        <w:rPr>
          <w:rFonts w:ascii="Times New Roman" w:hAnsi="Times New Roman" w:cs="Times New Roman"/>
          <w:sz w:val="24"/>
          <w:szCs w:val="24"/>
          <w:lang w:val="mk-MK"/>
        </w:rPr>
        <w:t>анализираниот период</w:t>
      </w:r>
      <w:r w:rsidR="00000A3D" w:rsidRPr="001308AF">
        <w:rPr>
          <w:rFonts w:ascii="Times New Roman" w:hAnsi="Times New Roman" w:cs="Times New Roman"/>
          <w:sz w:val="24"/>
          <w:szCs w:val="24"/>
          <w:lang w:val="mk-MK"/>
        </w:rPr>
        <w:t xml:space="preserve"> се дадени </w:t>
      </w:r>
      <w:r>
        <w:rPr>
          <w:rFonts w:ascii="Times New Roman" w:hAnsi="Times New Roman" w:cs="Times New Roman"/>
          <w:sz w:val="24"/>
          <w:szCs w:val="24"/>
          <w:lang w:val="mk-MK"/>
        </w:rPr>
        <w:t xml:space="preserve">најчесто </w:t>
      </w:r>
      <w:r w:rsidR="00000A3D" w:rsidRPr="001308AF">
        <w:rPr>
          <w:rFonts w:ascii="Times New Roman" w:hAnsi="Times New Roman" w:cs="Times New Roman"/>
          <w:sz w:val="24"/>
          <w:szCs w:val="24"/>
          <w:lang w:val="mk-MK"/>
        </w:rPr>
        <w:t>на барање на друга државна институција или по барање за мислење за донесување на нови или за измени на предлог-закони. Во целост отсуствуваат барањата за мислења за оваа проблематика од страна на фирмите или на физичките лица.</w:t>
      </w:r>
    </w:p>
    <w:p w:rsidR="00E9773B" w:rsidRPr="001C2CDA" w:rsidRDefault="00337656" w:rsidP="001C2CDA">
      <w:pPr>
        <w:spacing w:line="276" w:lineRule="auto"/>
        <w:ind w:firstLine="720"/>
        <w:jc w:val="both"/>
        <w:rPr>
          <w:rFonts w:ascii="Times New Roman" w:hAnsi="Times New Roman" w:cs="Times New Roman"/>
          <w:sz w:val="24"/>
          <w:szCs w:val="24"/>
          <w:lang w:val="mk-MK"/>
        </w:rPr>
      </w:pPr>
      <w:r w:rsidRPr="00337656">
        <w:rPr>
          <w:rFonts w:ascii="Times New Roman" w:hAnsi="Times New Roman" w:cs="Times New Roman"/>
          <w:sz w:val="24"/>
          <w:szCs w:val="24"/>
          <w:lang w:val="mk-MK"/>
        </w:rPr>
        <w:t xml:space="preserve">4. </w:t>
      </w:r>
      <w:r w:rsidR="001308AF" w:rsidRPr="00337656">
        <w:rPr>
          <w:rFonts w:ascii="Times New Roman" w:hAnsi="Times New Roman" w:cs="Times New Roman"/>
          <w:sz w:val="24"/>
          <w:szCs w:val="24"/>
          <w:lang w:val="mk-MK"/>
        </w:rPr>
        <w:t>Во однос на транспарентноста при креирањето и водењето на политиката за заштита на конкуренцијата, КЗК исто така, по</w:t>
      </w:r>
      <w:r>
        <w:rPr>
          <w:rFonts w:ascii="Times New Roman" w:hAnsi="Times New Roman" w:cs="Times New Roman"/>
          <w:sz w:val="24"/>
          <w:szCs w:val="24"/>
          <w:lang w:val="mk-MK"/>
        </w:rPr>
        <w:t xml:space="preserve">кажува </w:t>
      </w:r>
      <w:proofErr w:type="spellStart"/>
      <w:r>
        <w:rPr>
          <w:rFonts w:ascii="Times New Roman" w:hAnsi="Times New Roman" w:cs="Times New Roman"/>
          <w:sz w:val="24"/>
          <w:szCs w:val="24"/>
          <w:lang w:val="mk-MK"/>
        </w:rPr>
        <w:t>субоптимални</w:t>
      </w:r>
      <w:proofErr w:type="spellEnd"/>
      <w:r>
        <w:rPr>
          <w:rFonts w:ascii="Times New Roman" w:hAnsi="Times New Roman" w:cs="Times New Roman"/>
          <w:sz w:val="24"/>
          <w:szCs w:val="24"/>
          <w:lang w:val="mk-MK"/>
        </w:rPr>
        <w:t xml:space="preserve"> резултати. Комисијата </w:t>
      </w:r>
      <w:proofErr w:type="spellStart"/>
      <w:r>
        <w:rPr>
          <w:rFonts w:ascii="Times New Roman" w:hAnsi="Times New Roman" w:cs="Times New Roman"/>
          <w:sz w:val="24"/>
          <w:szCs w:val="24"/>
          <w:lang w:val="mk-MK"/>
        </w:rPr>
        <w:t>сеуште</w:t>
      </w:r>
      <w:proofErr w:type="spellEnd"/>
      <w:r>
        <w:rPr>
          <w:rFonts w:ascii="Times New Roman" w:hAnsi="Times New Roman" w:cs="Times New Roman"/>
          <w:sz w:val="24"/>
          <w:szCs w:val="24"/>
          <w:lang w:val="mk-MK"/>
        </w:rPr>
        <w:t xml:space="preserve"> нема воспоставено систем за структурирана евиденција на спроведувањето на нејзините надлежности. Не постои база во која ќе се прикажуваат </w:t>
      </w:r>
      <w:proofErr w:type="spellStart"/>
      <w:r>
        <w:rPr>
          <w:rFonts w:ascii="Times New Roman" w:hAnsi="Times New Roman" w:cs="Times New Roman"/>
          <w:sz w:val="24"/>
          <w:szCs w:val="24"/>
          <w:lang w:val="mk-MK"/>
        </w:rPr>
        <w:t>de-jure</w:t>
      </w:r>
      <w:proofErr w:type="spellEnd"/>
      <w:r>
        <w:rPr>
          <w:rFonts w:ascii="Times New Roman" w:hAnsi="Times New Roman" w:cs="Times New Roman"/>
          <w:sz w:val="24"/>
          <w:szCs w:val="24"/>
          <w:lang w:val="mk-MK"/>
        </w:rPr>
        <w:t xml:space="preserve"> и</w:t>
      </w:r>
      <w:r w:rsidR="00306FBB">
        <w:rPr>
          <w:rFonts w:ascii="Times New Roman" w:hAnsi="Times New Roman" w:cs="Times New Roman"/>
          <w:sz w:val="24"/>
          <w:szCs w:val="24"/>
          <w:lang w:val="mk-MK"/>
        </w:rPr>
        <w:t>з</w:t>
      </w:r>
      <w:r>
        <w:rPr>
          <w:rFonts w:ascii="Times New Roman" w:hAnsi="Times New Roman" w:cs="Times New Roman"/>
          <w:sz w:val="24"/>
          <w:szCs w:val="24"/>
          <w:lang w:val="mk-MK"/>
        </w:rPr>
        <w:t xml:space="preserve">речените парични казни и </w:t>
      </w:r>
      <w:proofErr w:type="spellStart"/>
      <w:r>
        <w:rPr>
          <w:rFonts w:ascii="Times New Roman" w:hAnsi="Times New Roman" w:cs="Times New Roman"/>
          <w:sz w:val="24"/>
          <w:szCs w:val="24"/>
          <w:lang w:val="mk-MK"/>
        </w:rPr>
        <w:t>de-facto</w:t>
      </w:r>
      <w:proofErr w:type="spellEnd"/>
      <w:r>
        <w:rPr>
          <w:rFonts w:ascii="Times New Roman" w:hAnsi="Times New Roman" w:cs="Times New Roman"/>
          <w:sz w:val="24"/>
          <w:szCs w:val="24"/>
          <w:lang w:val="mk-MK"/>
        </w:rPr>
        <w:t xml:space="preserve"> наплатените казни според одделни прекршоци. Во моментов тешко може да се следи динамиката и периодот од моментот на отворена постапка за </w:t>
      </w:r>
      <w:proofErr w:type="spellStart"/>
      <w:r>
        <w:rPr>
          <w:rFonts w:ascii="Times New Roman" w:hAnsi="Times New Roman" w:cs="Times New Roman"/>
          <w:sz w:val="24"/>
          <w:szCs w:val="24"/>
          <w:lang w:val="mk-MK"/>
        </w:rPr>
        <w:t>соменавње</w:t>
      </w:r>
      <w:proofErr w:type="spellEnd"/>
      <w:r>
        <w:rPr>
          <w:rFonts w:ascii="Times New Roman" w:hAnsi="Times New Roman" w:cs="Times New Roman"/>
          <w:sz w:val="24"/>
          <w:szCs w:val="24"/>
          <w:lang w:val="mk-MK"/>
        </w:rPr>
        <w:t xml:space="preserve"> на сторен прекршок по основ на ЗЗК до нејзиниот конечен исход. КЗК речиси и да нема стратегија за прикажување на </w:t>
      </w:r>
      <w:proofErr w:type="spellStart"/>
      <w:r>
        <w:rPr>
          <w:rFonts w:ascii="Times New Roman" w:hAnsi="Times New Roman" w:cs="Times New Roman"/>
          <w:sz w:val="24"/>
          <w:szCs w:val="24"/>
          <w:lang w:val="mk-MK"/>
        </w:rPr>
        <w:t>отчетноста</w:t>
      </w:r>
      <w:proofErr w:type="spellEnd"/>
      <w:r>
        <w:rPr>
          <w:rFonts w:ascii="Times New Roman" w:hAnsi="Times New Roman" w:cs="Times New Roman"/>
          <w:sz w:val="24"/>
          <w:szCs w:val="24"/>
          <w:lang w:val="mk-MK"/>
        </w:rPr>
        <w:t xml:space="preserve"> во нејзиното работење. </w:t>
      </w:r>
      <w:r w:rsidR="00306FBB">
        <w:rPr>
          <w:rFonts w:ascii="Times New Roman" w:hAnsi="Times New Roman" w:cs="Times New Roman"/>
          <w:sz w:val="24"/>
          <w:szCs w:val="24"/>
          <w:lang w:val="mk-MK"/>
        </w:rPr>
        <w:t xml:space="preserve">Праксата за </w:t>
      </w:r>
      <w:proofErr w:type="spellStart"/>
      <w:r w:rsidR="00306FBB">
        <w:rPr>
          <w:rFonts w:ascii="Times New Roman" w:hAnsi="Times New Roman" w:cs="Times New Roman"/>
          <w:sz w:val="24"/>
          <w:szCs w:val="24"/>
          <w:lang w:val="mk-MK"/>
        </w:rPr>
        <w:t>ex-post</w:t>
      </w:r>
      <w:proofErr w:type="spellEnd"/>
      <w:r w:rsidR="00306FBB">
        <w:rPr>
          <w:rFonts w:ascii="Times New Roman" w:hAnsi="Times New Roman" w:cs="Times New Roman"/>
          <w:sz w:val="24"/>
          <w:szCs w:val="24"/>
          <w:lang w:val="mk-MK"/>
        </w:rPr>
        <w:t xml:space="preserve"> евалуација на ефектите од донесените одлуки воопшто не се применува. Додека, п</w:t>
      </w:r>
      <w:proofErr w:type="spellStart"/>
      <w:r w:rsidR="00E9773B" w:rsidRPr="00F93021">
        <w:rPr>
          <w:rFonts w:ascii="Times New Roman" w:hAnsi="Times New Roman" w:cs="Times New Roman"/>
          <w:sz w:val="24"/>
          <w:szCs w:val="24"/>
        </w:rPr>
        <w:t>очнувајќи</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од</w:t>
      </w:r>
      <w:proofErr w:type="spellEnd"/>
      <w:r w:rsidR="00E9773B" w:rsidRPr="00F93021">
        <w:rPr>
          <w:rFonts w:ascii="Times New Roman" w:hAnsi="Times New Roman" w:cs="Times New Roman"/>
          <w:sz w:val="24"/>
          <w:szCs w:val="24"/>
        </w:rPr>
        <w:t xml:space="preserve"> 90-те </w:t>
      </w:r>
      <w:proofErr w:type="spellStart"/>
      <w:r w:rsidR="00E9773B" w:rsidRPr="00F93021">
        <w:rPr>
          <w:rFonts w:ascii="Times New Roman" w:hAnsi="Times New Roman" w:cs="Times New Roman"/>
          <w:sz w:val="24"/>
          <w:szCs w:val="24"/>
        </w:rPr>
        <w:t>години</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на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минатиот</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век</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во</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развиените</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западни</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економии</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континуирано</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расте</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интересот</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за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мерење</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на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перформансите</w:t>
      </w:r>
      <w:proofErr w:type="spellEnd"/>
      <w:r w:rsidR="00E9773B" w:rsidRPr="00F93021">
        <w:rPr>
          <w:rFonts w:ascii="Times New Roman" w:hAnsi="Times New Roman" w:cs="Times New Roman"/>
          <w:sz w:val="24"/>
          <w:szCs w:val="24"/>
        </w:rPr>
        <w:t xml:space="preserve"> и </w:t>
      </w:r>
      <w:proofErr w:type="spellStart"/>
      <w:r w:rsidR="00E9773B" w:rsidRPr="00F93021">
        <w:rPr>
          <w:rFonts w:ascii="Times New Roman" w:hAnsi="Times New Roman" w:cs="Times New Roman"/>
          <w:sz w:val="24"/>
          <w:szCs w:val="24"/>
        </w:rPr>
        <w:t>ефектите</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од</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примената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на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политиките</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за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заштита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на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конкуренцијата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како</w:t>
      </w:r>
      <w:proofErr w:type="spellEnd"/>
      <w:r w:rsidR="00E9773B" w:rsidRPr="00F93021">
        <w:rPr>
          <w:rFonts w:ascii="Times New Roman" w:hAnsi="Times New Roman" w:cs="Times New Roman"/>
          <w:sz w:val="24"/>
          <w:szCs w:val="24"/>
        </w:rPr>
        <w:t xml:space="preserve"> и евалуација </w:t>
      </w:r>
      <w:proofErr w:type="spellStart"/>
      <w:r w:rsidR="00E9773B" w:rsidRPr="00F93021">
        <w:rPr>
          <w:rFonts w:ascii="Times New Roman" w:hAnsi="Times New Roman" w:cs="Times New Roman"/>
          <w:sz w:val="24"/>
          <w:szCs w:val="24"/>
        </w:rPr>
        <w:t>на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работата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на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државните</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институции</w:t>
      </w:r>
      <w:proofErr w:type="spellEnd"/>
      <w:r w:rsidR="00E9773B" w:rsidRPr="00F93021">
        <w:rPr>
          <w:rFonts w:ascii="Times New Roman" w:hAnsi="Times New Roman" w:cs="Times New Roman"/>
          <w:sz w:val="24"/>
          <w:szCs w:val="24"/>
        </w:rPr>
        <w:t xml:space="preserve"> и </w:t>
      </w:r>
      <w:proofErr w:type="spellStart"/>
      <w:r w:rsidR="00E9773B" w:rsidRPr="00F93021">
        <w:rPr>
          <w:rFonts w:ascii="Times New Roman" w:hAnsi="Times New Roman" w:cs="Times New Roman"/>
          <w:sz w:val="24"/>
          <w:szCs w:val="24"/>
        </w:rPr>
        <w:t>агенции</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задолжени</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за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спроведување</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на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овие</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политики</w:t>
      </w:r>
      <w:proofErr w:type="spellEnd"/>
      <w:r w:rsidR="00E9773B">
        <w:rPr>
          <w:rStyle w:val="FootnoteReference"/>
          <w:rFonts w:ascii="Times New Roman" w:hAnsi="Times New Roman" w:cs="Times New Roman"/>
          <w:sz w:val="24"/>
          <w:szCs w:val="24"/>
        </w:rPr>
        <w:footnoteReference w:id="4"/>
      </w:r>
      <w:r w:rsidR="00E9773B">
        <w:rPr>
          <w:rFonts w:ascii="Times New Roman" w:hAnsi="Times New Roman" w:cs="Times New Roman"/>
          <w:sz w:val="24"/>
          <w:szCs w:val="24"/>
          <w:lang w:val="mk-MK"/>
        </w:rPr>
        <w:t>.</w:t>
      </w:r>
      <w:r w:rsidR="00953A49">
        <w:rPr>
          <w:rFonts w:ascii="Times New Roman" w:hAnsi="Times New Roman" w:cs="Times New Roman"/>
          <w:sz w:val="24"/>
          <w:szCs w:val="24"/>
          <w:lang w:val="mk-MK"/>
        </w:rPr>
        <w:t xml:space="preserve"> </w:t>
      </w:r>
      <w:proofErr w:type="spellStart"/>
      <w:r w:rsidR="00E9773B">
        <w:rPr>
          <w:rFonts w:ascii="Times New Roman" w:hAnsi="Times New Roman" w:cs="Times New Roman"/>
          <w:sz w:val="24"/>
          <w:szCs w:val="24"/>
        </w:rPr>
        <w:t>Во</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сржта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на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Агендата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lastRenderedPageBreak/>
        <w:t>за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прудентна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регулација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на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Европската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комисија</w:t>
      </w:r>
      <w:proofErr w:type="spellEnd"/>
      <w:r w:rsidR="00E9773B">
        <w:rPr>
          <w:rFonts w:ascii="Times New Roman" w:hAnsi="Times New Roman" w:cs="Times New Roman"/>
          <w:sz w:val="24"/>
          <w:szCs w:val="24"/>
        </w:rPr>
        <w:t xml:space="preserve"> (2013) (Smart regulation Agenda) </w:t>
      </w:r>
      <w:proofErr w:type="spellStart"/>
      <w:r w:rsidR="00E9773B">
        <w:rPr>
          <w:rFonts w:ascii="Times New Roman" w:hAnsi="Times New Roman" w:cs="Times New Roman"/>
          <w:sz w:val="24"/>
          <w:szCs w:val="24"/>
        </w:rPr>
        <w:t>лежи</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намерата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за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подобрување</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на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регулативата</w:t>
      </w:r>
      <w:proofErr w:type="spellEnd"/>
      <w:r w:rsidR="00E9773B">
        <w:rPr>
          <w:rFonts w:ascii="Times New Roman" w:hAnsi="Times New Roman" w:cs="Times New Roman"/>
          <w:sz w:val="24"/>
          <w:szCs w:val="24"/>
        </w:rPr>
        <w:t xml:space="preserve"> и </w:t>
      </w:r>
      <w:proofErr w:type="spellStart"/>
      <w:r w:rsidR="00E9773B">
        <w:rPr>
          <w:rFonts w:ascii="Times New Roman" w:hAnsi="Times New Roman" w:cs="Times New Roman"/>
          <w:sz w:val="24"/>
          <w:szCs w:val="24"/>
        </w:rPr>
        <w:t>нејзината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имплементација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Имено</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евалуацијата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треба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да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даде</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подобар</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увид</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дали</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политиките</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на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владите</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ги</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даваат</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посакуваните</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ефекти</w:t>
      </w:r>
      <w:proofErr w:type="spellEnd"/>
      <w:r w:rsidR="00E9773B">
        <w:rPr>
          <w:rFonts w:ascii="Times New Roman" w:hAnsi="Times New Roman" w:cs="Times New Roman"/>
          <w:sz w:val="24"/>
          <w:szCs w:val="24"/>
        </w:rPr>
        <w:t xml:space="preserve">, и </w:t>
      </w:r>
      <w:proofErr w:type="spellStart"/>
      <w:r w:rsidR="00E9773B">
        <w:rPr>
          <w:rFonts w:ascii="Times New Roman" w:hAnsi="Times New Roman" w:cs="Times New Roman"/>
          <w:sz w:val="24"/>
          <w:szCs w:val="24"/>
        </w:rPr>
        <w:t>во</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таа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насока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се</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добра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основа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за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развој</w:t>
      </w:r>
      <w:proofErr w:type="spellEnd"/>
      <w:r w:rsidR="00E9773B">
        <w:rPr>
          <w:rFonts w:ascii="Times New Roman" w:hAnsi="Times New Roman" w:cs="Times New Roman"/>
          <w:sz w:val="24"/>
          <w:szCs w:val="24"/>
        </w:rPr>
        <w:t xml:space="preserve"> и </w:t>
      </w:r>
      <w:proofErr w:type="spellStart"/>
      <w:r w:rsidR="00E9773B">
        <w:rPr>
          <w:rFonts w:ascii="Times New Roman" w:hAnsi="Times New Roman" w:cs="Times New Roman"/>
          <w:sz w:val="24"/>
          <w:szCs w:val="24"/>
        </w:rPr>
        <w:t>примена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на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подобра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регулатива</w:t>
      </w:r>
      <w:proofErr w:type="spellEnd"/>
      <w:r w:rsidR="00E9773B">
        <w:rPr>
          <w:rFonts w:ascii="Times New Roman" w:hAnsi="Times New Roman" w:cs="Times New Roman"/>
          <w:sz w:val="24"/>
          <w:szCs w:val="24"/>
        </w:rPr>
        <w:t xml:space="preserve"> и </w:t>
      </w:r>
      <w:proofErr w:type="spellStart"/>
      <w:r w:rsidR="00E9773B">
        <w:rPr>
          <w:rFonts w:ascii="Times New Roman" w:hAnsi="Times New Roman" w:cs="Times New Roman"/>
          <w:sz w:val="24"/>
          <w:szCs w:val="24"/>
        </w:rPr>
        <w:t>политики</w:t>
      </w:r>
      <w:proofErr w:type="spellEnd"/>
      <w:r w:rsidR="00E9773B">
        <w:rPr>
          <w:rFonts w:ascii="Times New Roman" w:hAnsi="Times New Roman" w:cs="Times New Roman"/>
          <w:sz w:val="24"/>
          <w:szCs w:val="24"/>
        </w:rPr>
        <w:t>.</w:t>
      </w:r>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Исто</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така</w:t>
      </w:r>
      <w:proofErr w:type="spellEnd"/>
      <w:r w:rsidR="00E9773B" w:rsidRPr="00F93021">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со</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цел</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да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се</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постигне</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меѓународна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споредливост</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на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ефектите</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на</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овие</w:t>
      </w:r>
      <w:proofErr w:type="spellEnd"/>
      <w:r w:rsidR="00E9773B">
        <w:rPr>
          <w:rFonts w:ascii="Times New Roman" w:hAnsi="Times New Roman" w:cs="Times New Roman"/>
          <w:sz w:val="24"/>
          <w:szCs w:val="24"/>
        </w:rPr>
        <w:t xml:space="preserve"> </w:t>
      </w:r>
      <w:proofErr w:type="spellStart"/>
      <w:r w:rsidR="00E9773B">
        <w:rPr>
          <w:rFonts w:ascii="Times New Roman" w:hAnsi="Times New Roman" w:cs="Times New Roman"/>
          <w:sz w:val="24"/>
          <w:szCs w:val="24"/>
        </w:rPr>
        <w:t>политики</w:t>
      </w:r>
      <w:proofErr w:type="spellEnd"/>
      <w:r w:rsidR="00E9773B">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во</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рамките</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на</w:t>
      </w:r>
      <w:proofErr w:type="spellEnd"/>
      <w:r w:rsidR="00E9773B" w:rsidRPr="00F93021">
        <w:rPr>
          <w:rFonts w:ascii="Times New Roman" w:hAnsi="Times New Roman" w:cs="Times New Roman"/>
          <w:sz w:val="24"/>
          <w:szCs w:val="24"/>
        </w:rPr>
        <w:t xml:space="preserve"> OECD</w:t>
      </w:r>
      <w:r w:rsidR="005937F0">
        <w:rPr>
          <w:rFonts w:ascii="Times New Roman" w:hAnsi="Times New Roman" w:cs="Times New Roman"/>
          <w:sz w:val="24"/>
          <w:szCs w:val="24"/>
          <w:lang w:val="mk-MK"/>
        </w:rPr>
        <w:t xml:space="preserve"> (2014)</w:t>
      </w:r>
      <w:r w:rsidR="005B2679">
        <w:rPr>
          <w:rFonts w:ascii="Times New Roman" w:hAnsi="Times New Roman" w:cs="Times New Roman"/>
          <w:sz w:val="24"/>
          <w:szCs w:val="24"/>
          <w:lang w:val="mk-MK"/>
        </w:rPr>
        <w:t xml:space="preserve"> и OECD (2016)</w:t>
      </w:r>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се</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преземаат</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активности</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за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усогласување</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на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методологиите</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за</w:t>
      </w:r>
      <w:proofErr w:type="spellEnd"/>
      <w:r w:rsidR="00E9773B" w:rsidRPr="00F93021">
        <w:rPr>
          <w:rFonts w:ascii="Times New Roman" w:hAnsi="Times New Roman" w:cs="Times New Roman"/>
          <w:sz w:val="24"/>
          <w:szCs w:val="24"/>
        </w:rPr>
        <w:t xml:space="preserve"> евалуација </w:t>
      </w:r>
      <w:proofErr w:type="spellStart"/>
      <w:r w:rsidR="00E9773B" w:rsidRPr="00F93021">
        <w:rPr>
          <w:rFonts w:ascii="Times New Roman" w:hAnsi="Times New Roman" w:cs="Times New Roman"/>
          <w:sz w:val="24"/>
          <w:szCs w:val="24"/>
        </w:rPr>
        <w:t>на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одделните</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национални</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регулативи</w:t>
      </w:r>
      <w:proofErr w:type="spellEnd"/>
      <w:r w:rsidR="00E9773B" w:rsidRPr="00F93021">
        <w:rPr>
          <w:rFonts w:ascii="Times New Roman" w:hAnsi="Times New Roman" w:cs="Times New Roman"/>
          <w:sz w:val="24"/>
          <w:szCs w:val="24"/>
        </w:rPr>
        <w:t xml:space="preserve"> и </w:t>
      </w:r>
      <w:proofErr w:type="spellStart"/>
      <w:r w:rsidR="00E9773B" w:rsidRPr="00F93021">
        <w:rPr>
          <w:rFonts w:ascii="Times New Roman" w:hAnsi="Times New Roman" w:cs="Times New Roman"/>
          <w:sz w:val="24"/>
          <w:szCs w:val="24"/>
        </w:rPr>
        <w:t>политики</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за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заштита</w:t>
      </w:r>
      <w:proofErr w:type="spellEnd"/>
      <w:r w:rsidR="00E9773B" w:rsidRPr="00F93021">
        <w:rPr>
          <w:rFonts w:ascii="Times New Roman" w:hAnsi="Times New Roman" w:cs="Times New Roman"/>
          <w:sz w:val="24"/>
          <w:szCs w:val="24"/>
        </w:rPr>
        <w:t xml:space="preserve"> </w:t>
      </w:r>
      <w:proofErr w:type="spellStart"/>
      <w:r w:rsidR="00E9773B" w:rsidRPr="00F93021">
        <w:rPr>
          <w:rFonts w:ascii="Times New Roman" w:hAnsi="Times New Roman" w:cs="Times New Roman"/>
          <w:sz w:val="24"/>
          <w:szCs w:val="24"/>
        </w:rPr>
        <w:t>на</w:t>
      </w:r>
      <w:proofErr w:type="spellEnd"/>
      <w:r w:rsidR="00E9773B" w:rsidRPr="00F93021">
        <w:rPr>
          <w:rFonts w:ascii="Times New Roman" w:hAnsi="Times New Roman" w:cs="Times New Roman"/>
          <w:sz w:val="24"/>
          <w:szCs w:val="24"/>
        </w:rPr>
        <w:t xml:space="preserve"> </w:t>
      </w:r>
      <w:proofErr w:type="spellStart"/>
      <w:r w:rsidR="00E9773B" w:rsidRPr="001C2CDA">
        <w:rPr>
          <w:rFonts w:ascii="Times New Roman" w:hAnsi="Times New Roman" w:cs="Times New Roman"/>
          <w:sz w:val="24"/>
          <w:szCs w:val="24"/>
        </w:rPr>
        <w:t>конкуренцијата</w:t>
      </w:r>
      <w:proofErr w:type="spellEnd"/>
      <w:r w:rsidR="00E9773B" w:rsidRPr="001C2CDA">
        <w:rPr>
          <w:rFonts w:ascii="Times New Roman" w:hAnsi="Times New Roman" w:cs="Times New Roman"/>
          <w:sz w:val="24"/>
          <w:szCs w:val="24"/>
        </w:rPr>
        <w:t xml:space="preserve">. </w:t>
      </w:r>
    </w:p>
    <w:p w:rsidR="00E9773B" w:rsidRPr="001C2CDA" w:rsidRDefault="00306FBB" w:rsidP="001C2CDA">
      <w:pPr>
        <w:spacing w:line="276" w:lineRule="auto"/>
        <w:ind w:firstLine="720"/>
        <w:jc w:val="both"/>
        <w:rPr>
          <w:rFonts w:ascii="Times New Roman" w:hAnsi="Times New Roman" w:cs="Times New Roman"/>
          <w:sz w:val="24"/>
          <w:szCs w:val="24"/>
          <w:lang w:val="mk-MK"/>
        </w:rPr>
      </w:pPr>
      <w:r w:rsidRPr="001C2CDA">
        <w:rPr>
          <w:rFonts w:ascii="Times New Roman" w:hAnsi="Times New Roman" w:cs="Times New Roman"/>
          <w:sz w:val="24"/>
          <w:szCs w:val="24"/>
          <w:lang w:val="mk-MK"/>
        </w:rPr>
        <w:t>5.</w:t>
      </w:r>
      <w:r w:rsidR="001C2CDA">
        <w:rPr>
          <w:rFonts w:ascii="Times New Roman" w:hAnsi="Times New Roman" w:cs="Times New Roman"/>
          <w:sz w:val="24"/>
          <w:szCs w:val="24"/>
          <w:lang w:val="mk-MK"/>
        </w:rPr>
        <w:t xml:space="preserve"> В</w:t>
      </w:r>
      <w:r w:rsidR="001C2CDA" w:rsidRPr="001C2CDA">
        <w:rPr>
          <w:rFonts w:ascii="Times New Roman" w:hAnsi="Times New Roman" w:cs="Times New Roman"/>
          <w:sz w:val="24"/>
          <w:szCs w:val="24"/>
          <w:lang w:val="mk-MK"/>
        </w:rPr>
        <w:t>о однос на институционалната поставеност на КЗК се забележува значаен напредок</w:t>
      </w:r>
      <w:r w:rsidR="001C2CDA">
        <w:rPr>
          <w:rFonts w:ascii="Times New Roman" w:hAnsi="Times New Roman" w:cs="Times New Roman"/>
          <w:sz w:val="24"/>
          <w:szCs w:val="24"/>
          <w:lang w:val="mk-MK"/>
        </w:rPr>
        <w:t xml:space="preserve"> во усогласувањето на законската регулатива</w:t>
      </w:r>
      <w:r w:rsidR="001C2CDA" w:rsidRPr="001C2CDA">
        <w:rPr>
          <w:rFonts w:ascii="Times New Roman" w:hAnsi="Times New Roman" w:cs="Times New Roman"/>
          <w:sz w:val="24"/>
          <w:szCs w:val="24"/>
          <w:lang w:val="mk-MK"/>
        </w:rPr>
        <w:t>, но сепак, не е доволен за јакнење на кредибилитетот и независноста на оваа институција. Имено, кај прекршочните постапки, примената на клаузулата за суспензија сè уште може да го одложи извршувањето на решенијата на КЗК, а со тоа се намалуваат ефектите од активностите на КЗК, и негативно се влијае врз нејзиниот кредибилитет</w:t>
      </w:r>
      <w:r w:rsidR="001C2CDA">
        <w:rPr>
          <w:rFonts w:ascii="Times New Roman" w:hAnsi="Times New Roman" w:cs="Times New Roman"/>
          <w:sz w:val="24"/>
          <w:szCs w:val="24"/>
          <w:lang w:val="mk-MK"/>
        </w:rPr>
        <w:t>.</w:t>
      </w:r>
    </w:p>
    <w:p w:rsidR="001C2CDA" w:rsidRPr="00E732FF" w:rsidRDefault="00000A3D" w:rsidP="001C2CDA">
      <w:pPr>
        <w:spacing w:line="276" w:lineRule="auto"/>
        <w:ind w:firstLine="720"/>
        <w:jc w:val="both"/>
        <w:rPr>
          <w:rFonts w:ascii="Times New Roman" w:hAnsi="Times New Roman" w:cs="Times New Roman"/>
          <w:sz w:val="24"/>
          <w:szCs w:val="24"/>
          <w:lang w:val="mk-MK"/>
        </w:rPr>
      </w:pPr>
      <w:r w:rsidRPr="00E732FF">
        <w:rPr>
          <w:rFonts w:ascii="Times New Roman" w:hAnsi="Times New Roman" w:cs="Times New Roman"/>
          <w:sz w:val="24"/>
          <w:szCs w:val="24"/>
          <w:lang w:val="mk-MK"/>
        </w:rPr>
        <w:t>Во табелата 1.7. е даден сумарен преглед за карактеристиките на политиката за заштита на конкуренцијата во земјата.</w:t>
      </w:r>
      <w:r w:rsidR="00E732FF" w:rsidRPr="00E732FF">
        <w:rPr>
          <w:rFonts w:ascii="Times New Roman" w:hAnsi="Times New Roman" w:cs="Times New Roman"/>
          <w:sz w:val="24"/>
          <w:szCs w:val="24"/>
          <w:lang w:val="mk-MK"/>
        </w:rPr>
        <w:t xml:space="preserve"> Сетот на критериуми за анализа е направен според методологијата на </w:t>
      </w:r>
      <w:proofErr w:type="spellStart"/>
      <w:r w:rsidR="00E732FF" w:rsidRPr="00E732FF">
        <w:rPr>
          <w:rFonts w:ascii="Times New Roman" w:hAnsi="Times New Roman" w:cs="Times New Roman"/>
          <w:sz w:val="24"/>
          <w:szCs w:val="24"/>
          <w:lang w:val="mk-MK"/>
        </w:rPr>
        <w:t>Dutz</w:t>
      </w:r>
      <w:proofErr w:type="spellEnd"/>
      <w:r w:rsidR="00E732FF" w:rsidRPr="00E732FF">
        <w:rPr>
          <w:rFonts w:ascii="Times New Roman" w:hAnsi="Times New Roman" w:cs="Times New Roman"/>
          <w:sz w:val="24"/>
          <w:szCs w:val="24"/>
          <w:lang w:val="mk-MK"/>
        </w:rPr>
        <w:t xml:space="preserve">. </w:t>
      </w:r>
      <w:proofErr w:type="spellStart"/>
      <w:r w:rsidR="00E732FF" w:rsidRPr="00E732FF">
        <w:rPr>
          <w:rFonts w:ascii="Times New Roman" w:hAnsi="Times New Roman" w:cs="Times New Roman"/>
          <w:sz w:val="24"/>
          <w:szCs w:val="24"/>
          <w:lang w:val="mk-MK"/>
        </w:rPr>
        <w:t>and</w:t>
      </w:r>
      <w:proofErr w:type="spellEnd"/>
      <w:r w:rsidR="00E732FF" w:rsidRPr="00E732FF">
        <w:rPr>
          <w:rFonts w:ascii="Times New Roman" w:hAnsi="Times New Roman" w:cs="Times New Roman"/>
          <w:sz w:val="24"/>
          <w:szCs w:val="24"/>
          <w:lang w:val="mk-MK"/>
        </w:rPr>
        <w:t xml:space="preserve"> </w:t>
      </w:r>
      <w:proofErr w:type="spellStart"/>
      <w:r w:rsidR="00E732FF" w:rsidRPr="00E732FF">
        <w:rPr>
          <w:rFonts w:ascii="Times New Roman" w:hAnsi="Times New Roman" w:cs="Times New Roman"/>
          <w:sz w:val="24"/>
          <w:szCs w:val="24"/>
          <w:lang w:val="mk-MK"/>
        </w:rPr>
        <w:t>Vagliasindi</w:t>
      </w:r>
      <w:proofErr w:type="spellEnd"/>
      <w:r w:rsidR="00E732FF" w:rsidRPr="00E732FF">
        <w:rPr>
          <w:rFonts w:ascii="Times New Roman" w:hAnsi="Times New Roman" w:cs="Times New Roman"/>
          <w:sz w:val="24"/>
          <w:szCs w:val="24"/>
          <w:lang w:val="mk-MK"/>
        </w:rPr>
        <w:t xml:space="preserve"> (2000), за анализа на политиката за заштита на конкуренцијата во </w:t>
      </w:r>
      <w:proofErr w:type="spellStart"/>
      <w:r w:rsidR="00E732FF" w:rsidRPr="00E732FF">
        <w:rPr>
          <w:rFonts w:ascii="Times New Roman" w:hAnsi="Times New Roman" w:cs="Times New Roman"/>
          <w:sz w:val="24"/>
          <w:szCs w:val="24"/>
          <w:lang w:val="mk-MK"/>
        </w:rPr>
        <w:t>транзиционите</w:t>
      </w:r>
      <w:proofErr w:type="spellEnd"/>
      <w:r w:rsidR="00E732FF" w:rsidRPr="00E732FF">
        <w:rPr>
          <w:rFonts w:ascii="Times New Roman" w:hAnsi="Times New Roman" w:cs="Times New Roman"/>
          <w:sz w:val="24"/>
          <w:szCs w:val="24"/>
          <w:lang w:val="mk-MK"/>
        </w:rPr>
        <w:t xml:space="preserve"> економии</w:t>
      </w:r>
      <w:r w:rsidR="00E732FF">
        <w:rPr>
          <w:rFonts w:ascii="Times New Roman" w:hAnsi="Times New Roman" w:cs="Times New Roman"/>
          <w:sz w:val="24"/>
          <w:szCs w:val="24"/>
          <w:lang w:val="mk-MK"/>
        </w:rPr>
        <w:t>.</w:t>
      </w:r>
    </w:p>
    <w:p w:rsidR="000A1DD9" w:rsidRPr="001C2CDA" w:rsidRDefault="000A1DD9" w:rsidP="001C2CDA">
      <w:pPr>
        <w:spacing w:line="276" w:lineRule="auto"/>
        <w:ind w:firstLine="720"/>
        <w:jc w:val="both"/>
        <w:rPr>
          <w:rFonts w:ascii="Times New Roman" w:hAnsi="Times New Roman" w:cs="Times New Roman"/>
          <w:b/>
          <w:bCs/>
          <w:lang w:val="mk-MK"/>
        </w:rPr>
      </w:pPr>
      <w:r w:rsidRPr="001C2CDA">
        <w:rPr>
          <w:rFonts w:ascii="Times New Roman" w:hAnsi="Times New Roman" w:cs="Times New Roman"/>
          <w:b/>
          <w:bCs/>
          <w:lang w:val="mk-MK"/>
        </w:rPr>
        <w:t>Табела 7. Оценка на ефикасноста на политиката за заштита на конкуренцијата во Република Македонија, според селектирана група на критериуми.</w:t>
      </w:r>
    </w:p>
    <w:tbl>
      <w:tblPr>
        <w:tblStyle w:val="TableGrid"/>
        <w:tblW w:w="0" w:type="auto"/>
        <w:jc w:val="center"/>
        <w:tblLook w:val="01E0" w:firstRow="1" w:lastRow="1" w:firstColumn="1" w:lastColumn="1" w:noHBand="0" w:noVBand="0"/>
      </w:tblPr>
      <w:tblGrid>
        <w:gridCol w:w="5148"/>
        <w:gridCol w:w="3708"/>
      </w:tblGrid>
      <w:tr w:rsidR="000A1DD9" w:rsidRPr="000A1DD9" w:rsidTr="000A1DD9">
        <w:trPr>
          <w:jc w:val="center"/>
        </w:trPr>
        <w:tc>
          <w:tcPr>
            <w:tcW w:w="5148" w:type="dxa"/>
            <w:shd w:val="clear" w:color="auto" w:fill="D9D9D9"/>
            <w:vAlign w:val="center"/>
          </w:tcPr>
          <w:p w:rsidR="000A1DD9" w:rsidRPr="000A1DD9" w:rsidRDefault="000A1DD9" w:rsidP="00A06960">
            <w:pPr>
              <w:jc w:val="center"/>
              <w:rPr>
                <w:b/>
                <w:bCs/>
                <w:sz w:val="24"/>
                <w:szCs w:val="24"/>
                <w:lang w:val="mk-MK"/>
              </w:rPr>
            </w:pPr>
            <w:r w:rsidRPr="000A1DD9">
              <w:rPr>
                <w:b/>
                <w:bCs/>
                <w:sz w:val="24"/>
                <w:szCs w:val="24"/>
                <w:lang w:val="mk-MK"/>
              </w:rPr>
              <w:t>Критериум</w:t>
            </w:r>
          </w:p>
        </w:tc>
        <w:tc>
          <w:tcPr>
            <w:tcW w:w="3708" w:type="dxa"/>
            <w:shd w:val="clear" w:color="auto" w:fill="D9D9D9"/>
            <w:vAlign w:val="center"/>
          </w:tcPr>
          <w:p w:rsidR="000A1DD9" w:rsidRPr="000A1DD9" w:rsidRDefault="000A1DD9" w:rsidP="00A06960">
            <w:pPr>
              <w:jc w:val="center"/>
              <w:rPr>
                <w:b/>
                <w:bCs/>
                <w:sz w:val="24"/>
                <w:szCs w:val="24"/>
                <w:lang w:val="mk-MK"/>
              </w:rPr>
            </w:pPr>
            <w:r w:rsidRPr="000A1DD9">
              <w:rPr>
                <w:b/>
                <w:bCs/>
                <w:sz w:val="24"/>
                <w:szCs w:val="24"/>
                <w:lang w:val="mk-MK"/>
              </w:rPr>
              <w:t>Оценка на задоволеност</w:t>
            </w:r>
          </w:p>
        </w:tc>
      </w:tr>
      <w:tr w:rsidR="000A1DD9" w:rsidRPr="000A1DD9" w:rsidTr="000A1DD9">
        <w:trPr>
          <w:jc w:val="center"/>
        </w:trPr>
        <w:tc>
          <w:tcPr>
            <w:tcW w:w="5148" w:type="dxa"/>
          </w:tcPr>
          <w:p w:rsidR="000A1DD9" w:rsidRPr="000A1DD9" w:rsidRDefault="000A1DD9" w:rsidP="00A06960">
            <w:pPr>
              <w:rPr>
                <w:sz w:val="24"/>
                <w:szCs w:val="24"/>
                <w:lang w:val="mk-MK"/>
              </w:rPr>
            </w:pPr>
            <w:r w:rsidRPr="000A1DD9">
              <w:rPr>
                <w:sz w:val="24"/>
                <w:szCs w:val="24"/>
                <w:lang w:val="mk-MK"/>
              </w:rPr>
              <w:t xml:space="preserve">1. Усогласеност со Европската </w:t>
            </w:r>
            <w:proofErr w:type="spellStart"/>
            <w:r w:rsidRPr="000A1DD9">
              <w:rPr>
                <w:sz w:val="24"/>
                <w:szCs w:val="24"/>
                <w:lang w:val="mk-MK"/>
              </w:rPr>
              <w:t>антитрустовска</w:t>
            </w:r>
            <w:proofErr w:type="spellEnd"/>
            <w:r w:rsidRPr="000A1DD9">
              <w:rPr>
                <w:sz w:val="24"/>
                <w:szCs w:val="24"/>
                <w:lang w:val="mk-MK"/>
              </w:rPr>
              <w:t xml:space="preserve"> легислатива</w:t>
            </w:r>
          </w:p>
        </w:tc>
        <w:tc>
          <w:tcPr>
            <w:tcW w:w="3708" w:type="dxa"/>
            <w:vAlign w:val="center"/>
          </w:tcPr>
          <w:p w:rsidR="000A1DD9" w:rsidRPr="000A1DD9" w:rsidRDefault="000A1DD9" w:rsidP="000A1DD9">
            <w:pPr>
              <w:jc w:val="center"/>
              <w:rPr>
                <w:sz w:val="24"/>
                <w:szCs w:val="24"/>
                <w:lang w:val="mk-MK"/>
              </w:rPr>
            </w:pPr>
            <w:r w:rsidRPr="000A1DD9">
              <w:rPr>
                <w:sz w:val="24"/>
                <w:szCs w:val="24"/>
                <w:lang w:val="mk-MK"/>
              </w:rPr>
              <w:t xml:space="preserve">во </w:t>
            </w:r>
            <w:proofErr w:type="spellStart"/>
            <w:r w:rsidRPr="000A1DD9">
              <w:rPr>
                <w:sz w:val="24"/>
                <w:szCs w:val="24"/>
              </w:rPr>
              <w:t>висок</w:t>
            </w:r>
            <w:proofErr w:type="spellEnd"/>
            <w:r w:rsidRPr="000A1DD9">
              <w:rPr>
                <w:sz w:val="24"/>
                <w:szCs w:val="24"/>
              </w:rPr>
              <w:t xml:space="preserve"> </w:t>
            </w:r>
            <w:proofErr w:type="spellStart"/>
            <w:r w:rsidRPr="000A1DD9">
              <w:rPr>
                <w:sz w:val="24"/>
                <w:szCs w:val="24"/>
              </w:rPr>
              <w:t>степен</w:t>
            </w:r>
            <w:proofErr w:type="spellEnd"/>
            <w:r w:rsidRPr="000A1DD9">
              <w:rPr>
                <w:sz w:val="24"/>
                <w:szCs w:val="24"/>
                <w:lang w:val="mk-MK"/>
              </w:rPr>
              <w:t xml:space="preserve"> е усогласена</w:t>
            </w:r>
          </w:p>
        </w:tc>
      </w:tr>
      <w:tr w:rsidR="000A1DD9" w:rsidRPr="000A1DD9" w:rsidTr="000A1DD9">
        <w:trPr>
          <w:jc w:val="center"/>
        </w:trPr>
        <w:tc>
          <w:tcPr>
            <w:tcW w:w="5148" w:type="dxa"/>
          </w:tcPr>
          <w:p w:rsidR="000A1DD9" w:rsidRPr="000A1DD9" w:rsidRDefault="000A1DD9" w:rsidP="00A06960">
            <w:pPr>
              <w:rPr>
                <w:sz w:val="24"/>
                <w:szCs w:val="24"/>
                <w:lang w:val="mk-MK"/>
              </w:rPr>
            </w:pPr>
            <w:r w:rsidRPr="000A1DD9">
              <w:rPr>
                <w:sz w:val="24"/>
                <w:szCs w:val="24"/>
                <w:lang w:val="mk-MK"/>
              </w:rPr>
              <w:t xml:space="preserve">2. Ефикасна, доследна и неселективна примена на регулативата </w:t>
            </w:r>
          </w:p>
        </w:tc>
        <w:tc>
          <w:tcPr>
            <w:tcW w:w="3708" w:type="dxa"/>
            <w:vAlign w:val="center"/>
          </w:tcPr>
          <w:p w:rsidR="000A1DD9" w:rsidRPr="000A1DD9" w:rsidRDefault="000A1DD9" w:rsidP="00A06960">
            <w:pPr>
              <w:jc w:val="center"/>
              <w:rPr>
                <w:sz w:val="24"/>
                <w:szCs w:val="24"/>
                <w:lang w:val="mk-MK"/>
              </w:rPr>
            </w:pPr>
            <w:r w:rsidRPr="000A1DD9">
              <w:rPr>
                <w:sz w:val="24"/>
                <w:szCs w:val="24"/>
                <w:lang w:val="mk-MK"/>
              </w:rPr>
              <w:t xml:space="preserve">Недоволна и неефикасна примена </w:t>
            </w:r>
          </w:p>
        </w:tc>
      </w:tr>
      <w:tr w:rsidR="000A1DD9" w:rsidRPr="000A1DD9" w:rsidTr="000A1DD9">
        <w:trPr>
          <w:jc w:val="center"/>
        </w:trPr>
        <w:tc>
          <w:tcPr>
            <w:tcW w:w="5148" w:type="dxa"/>
          </w:tcPr>
          <w:p w:rsidR="000A1DD9" w:rsidRPr="000A1DD9" w:rsidRDefault="000A1DD9" w:rsidP="00A06960">
            <w:pPr>
              <w:rPr>
                <w:sz w:val="24"/>
                <w:szCs w:val="24"/>
                <w:lang w:val="mk-MK"/>
              </w:rPr>
            </w:pPr>
            <w:r w:rsidRPr="000A1DD9">
              <w:rPr>
                <w:sz w:val="24"/>
                <w:szCs w:val="24"/>
                <w:lang w:val="mk-MK"/>
              </w:rPr>
              <w:t>3. Оценка на квалитетот на надлежната институција – КЗК</w:t>
            </w:r>
          </w:p>
        </w:tc>
        <w:tc>
          <w:tcPr>
            <w:tcW w:w="3708" w:type="dxa"/>
            <w:vAlign w:val="center"/>
          </w:tcPr>
          <w:p w:rsidR="000A1DD9" w:rsidRPr="000A1DD9" w:rsidRDefault="000A1DD9" w:rsidP="00A06960">
            <w:pPr>
              <w:jc w:val="center"/>
              <w:rPr>
                <w:sz w:val="24"/>
                <w:szCs w:val="24"/>
                <w:lang w:val="mk-MK"/>
              </w:rPr>
            </w:pPr>
          </w:p>
        </w:tc>
      </w:tr>
      <w:tr w:rsidR="000A1DD9" w:rsidRPr="000A1DD9" w:rsidTr="000A1DD9">
        <w:trPr>
          <w:jc w:val="center"/>
        </w:trPr>
        <w:tc>
          <w:tcPr>
            <w:tcW w:w="5148" w:type="dxa"/>
          </w:tcPr>
          <w:p w:rsidR="000A1DD9" w:rsidRPr="000A1DD9" w:rsidRDefault="000A1DD9" w:rsidP="00A06960">
            <w:pPr>
              <w:rPr>
                <w:sz w:val="24"/>
                <w:szCs w:val="24"/>
                <w:lang w:val="mk-MK"/>
              </w:rPr>
            </w:pPr>
            <w:r w:rsidRPr="000A1DD9">
              <w:rPr>
                <w:sz w:val="24"/>
                <w:szCs w:val="24"/>
                <w:lang w:val="mk-MK"/>
              </w:rPr>
              <w:t>- Финансиска независност во однос на Владата</w:t>
            </w:r>
          </w:p>
        </w:tc>
        <w:tc>
          <w:tcPr>
            <w:tcW w:w="3708" w:type="dxa"/>
            <w:vAlign w:val="center"/>
          </w:tcPr>
          <w:p w:rsidR="000A1DD9" w:rsidRPr="000A1DD9" w:rsidRDefault="000A1DD9" w:rsidP="00A06960">
            <w:pPr>
              <w:jc w:val="center"/>
              <w:rPr>
                <w:sz w:val="24"/>
                <w:szCs w:val="24"/>
                <w:lang w:val="mk-MK"/>
              </w:rPr>
            </w:pPr>
            <w:r w:rsidRPr="000A1DD9">
              <w:rPr>
                <w:sz w:val="24"/>
                <w:szCs w:val="24"/>
                <w:lang w:val="mk-MK"/>
              </w:rPr>
              <w:t>Зависна</w:t>
            </w:r>
          </w:p>
        </w:tc>
      </w:tr>
      <w:tr w:rsidR="000A1DD9" w:rsidRPr="000A1DD9" w:rsidTr="000A1DD9">
        <w:trPr>
          <w:jc w:val="center"/>
        </w:trPr>
        <w:tc>
          <w:tcPr>
            <w:tcW w:w="5148" w:type="dxa"/>
          </w:tcPr>
          <w:p w:rsidR="000A1DD9" w:rsidRPr="000A1DD9" w:rsidRDefault="000A1DD9" w:rsidP="00A06960">
            <w:pPr>
              <w:rPr>
                <w:sz w:val="24"/>
                <w:szCs w:val="24"/>
                <w:lang w:val="mk-MK"/>
              </w:rPr>
            </w:pPr>
            <w:r w:rsidRPr="000A1DD9">
              <w:rPr>
                <w:sz w:val="24"/>
                <w:szCs w:val="24"/>
                <w:lang w:val="mk-MK"/>
              </w:rPr>
              <w:t>- Административен капацитет</w:t>
            </w:r>
          </w:p>
        </w:tc>
        <w:tc>
          <w:tcPr>
            <w:tcW w:w="3708" w:type="dxa"/>
            <w:vAlign w:val="center"/>
          </w:tcPr>
          <w:p w:rsidR="000A1DD9" w:rsidRPr="000A1DD9" w:rsidRDefault="000A1DD9" w:rsidP="00A06960">
            <w:pPr>
              <w:jc w:val="center"/>
              <w:rPr>
                <w:sz w:val="24"/>
                <w:szCs w:val="24"/>
                <w:lang w:val="mk-MK"/>
              </w:rPr>
            </w:pPr>
            <w:r w:rsidRPr="000A1DD9">
              <w:rPr>
                <w:sz w:val="24"/>
                <w:szCs w:val="24"/>
                <w:lang w:val="mk-MK"/>
              </w:rPr>
              <w:t>Несоодветен</w:t>
            </w:r>
          </w:p>
        </w:tc>
      </w:tr>
      <w:tr w:rsidR="000A1DD9" w:rsidRPr="000A1DD9" w:rsidTr="000A1DD9">
        <w:trPr>
          <w:jc w:val="center"/>
        </w:trPr>
        <w:tc>
          <w:tcPr>
            <w:tcW w:w="5148" w:type="dxa"/>
          </w:tcPr>
          <w:p w:rsidR="000A1DD9" w:rsidRPr="000A1DD9" w:rsidRDefault="000A1DD9" w:rsidP="00A06960">
            <w:pPr>
              <w:rPr>
                <w:sz w:val="24"/>
                <w:szCs w:val="24"/>
                <w:lang w:val="mk-MK"/>
              </w:rPr>
            </w:pPr>
            <w:r w:rsidRPr="000A1DD9">
              <w:rPr>
                <w:sz w:val="24"/>
                <w:szCs w:val="24"/>
                <w:lang w:val="mk-MK"/>
              </w:rPr>
              <w:t>- Примена на економскиот пристап во анализата</w:t>
            </w:r>
          </w:p>
        </w:tc>
        <w:tc>
          <w:tcPr>
            <w:tcW w:w="3708" w:type="dxa"/>
            <w:vAlign w:val="center"/>
          </w:tcPr>
          <w:p w:rsidR="000A1DD9" w:rsidRPr="000A1DD9" w:rsidRDefault="000A1DD9" w:rsidP="00A06960">
            <w:pPr>
              <w:jc w:val="center"/>
              <w:rPr>
                <w:sz w:val="24"/>
                <w:szCs w:val="24"/>
                <w:lang w:val="mk-MK"/>
              </w:rPr>
            </w:pPr>
            <w:r w:rsidRPr="000A1DD9">
              <w:rPr>
                <w:sz w:val="24"/>
                <w:szCs w:val="24"/>
                <w:lang w:val="mk-MK"/>
              </w:rPr>
              <w:t>Многу скромно</w:t>
            </w:r>
          </w:p>
        </w:tc>
      </w:tr>
      <w:tr w:rsidR="000A1DD9" w:rsidRPr="000A1DD9" w:rsidTr="000A1DD9">
        <w:trPr>
          <w:jc w:val="center"/>
        </w:trPr>
        <w:tc>
          <w:tcPr>
            <w:tcW w:w="5148" w:type="dxa"/>
          </w:tcPr>
          <w:p w:rsidR="000A1DD9" w:rsidRPr="000A1DD9" w:rsidRDefault="000A1DD9" w:rsidP="00A06960">
            <w:pPr>
              <w:rPr>
                <w:sz w:val="24"/>
                <w:szCs w:val="24"/>
                <w:lang w:val="mk-MK"/>
              </w:rPr>
            </w:pPr>
            <w:r w:rsidRPr="000A1DD9">
              <w:rPr>
                <w:sz w:val="24"/>
                <w:szCs w:val="24"/>
                <w:lang w:val="mk-MK"/>
              </w:rPr>
              <w:t>- Транспарентност во работењето</w:t>
            </w:r>
          </w:p>
        </w:tc>
        <w:tc>
          <w:tcPr>
            <w:tcW w:w="3708" w:type="dxa"/>
            <w:vAlign w:val="center"/>
          </w:tcPr>
          <w:p w:rsidR="000A1DD9" w:rsidRPr="000A1DD9" w:rsidRDefault="000A1DD9" w:rsidP="00A06960">
            <w:pPr>
              <w:jc w:val="center"/>
              <w:rPr>
                <w:sz w:val="24"/>
                <w:szCs w:val="24"/>
                <w:lang w:val="mk-MK"/>
              </w:rPr>
            </w:pPr>
            <w:r w:rsidRPr="000A1DD9">
              <w:rPr>
                <w:sz w:val="24"/>
                <w:szCs w:val="24"/>
                <w:lang w:val="mk-MK"/>
              </w:rPr>
              <w:t>Слаба</w:t>
            </w:r>
          </w:p>
        </w:tc>
      </w:tr>
      <w:tr w:rsidR="000A1DD9" w:rsidRPr="000A1DD9" w:rsidTr="000A1DD9">
        <w:trPr>
          <w:jc w:val="center"/>
        </w:trPr>
        <w:tc>
          <w:tcPr>
            <w:tcW w:w="5148" w:type="dxa"/>
          </w:tcPr>
          <w:p w:rsidR="000A1DD9" w:rsidRPr="000A1DD9" w:rsidRDefault="000A1DD9" w:rsidP="00A06960">
            <w:pPr>
              <w:rPr>
                <w:sz w:val="24"/>
                <w:szCs w:val="24"/>
                <w:lang w:val="mk-MK"/>
              </w:rPr>
            </w:pPr>
            <w:r w:rsidRPr="000A1DD9">
              <w:rPr>
                <w:sz w:val="24"/>
                <w:szCs w:val="24"/>
                <w:lang w:val="mk-MK"/>
              </w:rPr>
              <w:t>- Советодавни активности</w:t>
            </w:r>
          </w:p>
        </w:tc>
        <w:tc>
          <w:tcPr>
            <w:tcW w:w="3708" w:type="dxa"/>
            <w:vAlign w:val="center"/>
          </w:tcPr>
          <w:p w:rsidR="000A1DD9" w:rsidRPr="000A1DD9" w:rsidRDefault="000A1DD9" w:rsidP="00A06960">
            <w:pPr>
              <w:jc w:val="center"/>
              <w:rPr>
                <w:sz w:val="24"/>
                <w:szCs w:val="24"/>
                <w:lang w:val="mk-MK"/>
              </w:rPr>
            </w:pPr>
            <w:r w:rsidRPr="000A1DD9">
              <w:rPr>
                <w:sz w:val="24"/>
                <w:szCs w:val="24"/>
                <w:lang w:val="mk-MK"/>
              </w:rPr>
              <w:t>Скромни, во целост насочени кон други државни институции</w:t>
            </w:r>
          </w:p>
        </w:tc>
      </w:tr>
      <w:tr w:rsidR="000A1DD9" w:rsidRPr="000A1DD9" w:rsidTr="000A1DD9">
        <w:trPr>
          <w:jc w:val="center"/>
        </w:trPr>
        <w:tc>
          <w:tcPr>
            <w:tcW w:w="5148" w:type="dxa"/>
          </w:tcPr>
          <w:p w:rsidR="000A1DD9" w:rsidRPr="000A1DD9" w:rsidRDefault="000A1DD9" w:rsidP="00A06960">
            <w:pPr>
              <w:rPr>
                <w:sz w:val="24"/>
                <w:szCs w:val="24"/>
                <w:lang w:val="mk-MK"/>
              </w:rPr>
            </w:pPr>
            <w:r w:rsidRPr="000A1DD9">
              <w:rPr>
                <w:sz w:val="24"/>
                <w:szCs w:val="24"/>
                <w:lang w:val="mk-MK"/>
              </w:rPr>
              <w:t>4. Влијание на политиката во насока на зголемување на пазарната конкуренција</w:t>
            </w:r>
          </w:p>
        </w:tc>
        <w:tc>
          <w:tcPr>
            <w:tcW w:w="3708" w:type="dxa"/>
            <w:vAlign w:val="center"/>
          </w:tcPr>
          <w:p w:rsidR="000A1DD9" w:rsidRPr="000A1DD9" w:rsidRDefault="000A1DD9" w:rsidP="00A06960">
            <w:pPr>
              <w:jc w:val="center"/>
              <w:rPr>
                <w:sz w:val="24"/>
                <w:szCs w:val="24"/>
                <w:lang w:val="mk-MK"/>
              </w:rPr>
            </w:pPr>
            <w:r w:rsidRPr="000A1DD9">
              <w:rPr>
                <w:sz w:val="24"/>
                <w:szCs w:val="24"/>
                <w:lang w:val="mk-MK"/>
              </w:rPr>
              <w:t>Недоволно</w:t>
            </w:r>
          </w:p>
        </w:tc>
      </w:tr>
      <w:tr w:rsidR="000A1DD9" w:rsidRPr="000A1DD9" w:rsidTr="000A1DD9">
        <w:trPr>
          <w:jc w:val="center"/>
        </w:trPr>
        <w:tc>
          <w:tcPr>
            <w:tcW w:w="5148" w:type="dxa"/>
          </w:tcPr>
          <w:p w:rsidR="000A1DD9" w:rsidRPr="000A1DD9" w:rsidRDefault="000A1DD9" w:rsidP="00A06960">
            <w:pPr>
              <w:rPr>
                <w:sz w:val="24"/>
                <w:szCs w:val="24"/>
                <w:lang w:val="mk-MK"/>
              </w:rPr>
            </w:pPr>
            <w:r w:rsidRPr="000A1DD9">
              <w:rPr>
                <w:sz w:val="24"/>
                <w:szCs w:val="24"/>
                <w:lang w:val="mk-MK"/>
              </w:rPr>
              <w:lastRenderedPageBreak/>
              <w:t>5. Влијание на политиката во насока на заштита на благосостојбата на потрошувачите</w:t>
            </w:r>
          </w:p>
        </w:tc>
        <w:tc>
          <w:tcPr>
            <w:tcW w:w="3708" w:type="dxa"/>
            <w:vAlign w:val="center"/>
          </w:tcPr>
          <w:p w:rsidR="000A1DD9" w:rsidRPr="000A1DD9" w:rsidRDefault="000A1DD9" w:rsidP="00A06960">
            <w:pPr>
              <w:jc w:val="center"/>
              <w:rPr>
                <w:sz w:val="24"/>
                <w:szCs w:val="24"/>
                <w:lang w:val="mk-MK"/>
              </w:rPr>
            </w:pPr>
            <w:r w:rsidRPr="000A1DD9">
              <w:rPr>
                <w:sz w:val="24"/>
                <w:szCs w:val="24"/>
                <w:lang w:val="mk-MK"/>
              </w:rPr>
              <w:t>Недоволно</w:t>
            </w:r>
          </w:p>
        </w:tc>
      </w:tr>
    </w:tbl>
    <w:p w:rsidR="00EA0602" w:rsidRDefault="00EA0602" w:rsidP="0047417E">
      <w:pPr>
        <w:spacing w:after="0" w:line="276" w:lineRule="auto"/>
        <w:jc w:val="both"/>
        <w:rPr>
          <w:rFonts w:ascii="Times New Roman" w:hAnsi="Times New Roman" w:cs="Times New Roman"/>
          <w:sz w:val="24"/>
          <w:szCs w:val="24"/>
          <w:lang w:val="mk-MK"/>
        </w:rPr>
      </w:pPr>
    </w:p>
    <w:p w:rsidR="00711011" w:rsidRDefault="0047417E" w:rsidP="0047417E">
      <w:pPr>
        <w:spacing w:after="0"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На крајот, како сумарни препораки може да ги наведеме следниве:</w:t>
      </w:r>
    </w:p>
    <w:p w:rsidR="000B2D0C" w:rsidRDefault="0047417E" w:rsidP="0047417E">
      <w:pPr>
        <w:pStyle w:val="ListParagraph"/>
        <w:numPr>
          <w:ilvl w:val="0"/>
          <w:numId w:val="2"/>
        </w:numPr>
        <w:spacing w:after="0"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Политиката за заштита на конкуренцијата да се креира врз определени критериуми и принципи и да биде насочена кон јасно остварување на дефинираните цели. Во таа насока, Комисијата треба да биде главен носител во остварувањето на овие задачи, преку соработка со секторските </w:t>
      </w:r>
      <w:proofErr w:type="spellStart"/>
      <w:r>
        <w:rPr>
          <w:rFonts w:ascii="Times New Roman" w:hAnsi="Times New Roman" w:cs="Times New Roman"/>
          <w:sz w:val="24"/>
          <w:szCs w:val="24"/>
          <w:lang w:val="mk-MK"/>
        </w:rPr>
        <w:t>регулаторни</w:t>
      </w:r>
      <w:proofErr w:type="spellEnd"/>
      <w:r>
        <w:rPr>
          <w:rFonts w:ascii="Times New Roman" w:hAnsi="Times New Roman" w:cs="Times New Roman"/>
          <w:sz w:val="24"/>
          <w:szCs w:val="24"/>
          <w:lang w:val="mk-MK"/>
        </w:rPr>
        <w:t xml:space="preserve"> тела, да ја подобри </w:t>
      </w:r>
      <w:r>
        <w:rPr>
          <w:rFonts w:ascii="Times New Roman" w:hAnsi="Times New Roman" w:cs="Times New Roman"/>
          <w:sz w:val="24"/>
          <w:szCs w:val="24"/>
        </w:rPr>
        <w:t xml:space="preserve">ex-post </w:t>
      </w:r>
      <w:r>
        <w:rPr>
          <w:rFonts w:ascii="Times New Roman" w:hAnsi="Times New Roman" w:cs="Times New Roman"/>
          <w:sz w:val="24"/>
          <w:szCs w:val="24"/>
          <w:lang w:val="mk-MK"/>
        </w:rPr>
        <w:t>пазарната регулација во сите економски сектори.</w:t>
      </w:r>
    </w:p>
    <w:p w:rsidR="0047417E" w:rsidRDefault="000B2D0C" w:rsidP="000B2D0C">
      <w:pPr>
        <w:pStyle w:val="ListParagraph"/>
        <w:numPr>
          <w:ilvl w:val="0"/>
          <w:numId w:val="2"/>
        </w:numPr>
        <w:spacing w:after="0" w:line="276" w:lineRule="auto"/>
        <w:jc w:val="both"/>
        <w:rPr>
          <w:rFonts w:ascii="Times New Roman" w:hAnsi="Times New Roman" w:cs="Times New Roman"/>
          <w:sz w:val="24"/>
          <w:szCs w:val="24"/>
          <w:lang w:val="mk-MK"/>
        </w:rPr>
      </w:pPr>
      <w:r w:rsidRPr="000B2D0C">
        <w:rPr>
          <w:rFonts w:ascii="Times New Roman" w:hAnsi="Times New Roman" w:cs="Times New Roman"/>
          <w:sz w:val="24"/>
          <w:szCs w:val="24"/>
          <w:lang w:val="mk-MK"/>
        </w:rPr>
        <w:t xml:space="preserve">Комисијата мора да се избори за сопствената формална и финансиска независност од страна на централната влада. </w:t>
      </w:r>
      <w:proofErr w:type="spellStart"/>
      <w:r>
        <w:rPr>
          <w:rFonts w:ascii="Times New Roman" w:hAnsi="Times New Roman" w:cs="Times New Roman"/>
          <w:sz w:val="24"/>
          <w:szCs w:val="24"/>
          <w:lang w:val="mk-MK"/>
        </w:rPr>
        <w:t>Перзистентниот</w:t>
      </w:r>
      <w:proofErr w:type="spellEnd"/>
      <w:r>
        <w:rPr>
          <w:rFonts w:ascii="Times New Roman" w:hAnsi="Times New Roman" w:cs="Times New Roman"/>
          <w:sz w:val="24"/>
          <w:szCs w:val="24"/>
          <w:lang w:val="mk-MK"/>
        </w:rPr>
        <w:t xml:space="preserve"> проблем</w:t>
      </w:r>
      <w:r w:rsidRPr="000B2D0C">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на недостиг на </w:t>
      </w:r>
      <w:r w:rsidRPr="000B2D0C">
        <w:rPr>
          <w:rFonts w:ascii="Times New Roman" w:hAnsi="Times New Roman" w:cs="Times New Roman"/>
          <w:sz w:val="24"/>
          <w:szCs w:val="24"/>
          <w:lang w:val="mk-MK"/>
        </w:rPr>
        <w:t xml:space="preserve">финансиски средства КЗК може да го реши на тој начин, што еден дел од средствата од наплатените парични казни </w:t>
      </w:r>
      <w:r>
        <w:rPr>
          <w:rFonts w:ascii="Times New Roman" w:hAnsi="Times New Roman" w:cs="Times New Roman"/>
          <w:sz w:val="24"/>
          <w:szCs w:val="24"/>
          <w:lang w:val="mk-MK"/>
        </w:rPr>
        <w:t xml:space="preserve">и надоместоците за контрола на концентрациите </w:t>
      </w:r>
      <w:r w:rsidRPr="000B2D0C">
        <w:rPr>
          <w:rFonts w:ascii="Times New Roman" w:hAnsi="Times New Roman" w:cs="Times New Roman"/>
          <w:sz w:val="24"/>
          <w:szCs w:val="24"/>
          <w:lang w:val="mk-MK"/>
        </w:rPr>
        <w:t>ќе ги употреби за дополнување на сопствениот буџет. Оваа пракса не е непозната, таа веќе се применува во Бугарија, Унгарија и Португалија (</w:t>
      </w:r>
      <w:proofErr w:type="spellStart"/>
      <w:r w:rsidRPr="000B2D0C">
        <w:rPr>
          <w:rFonts w:ascii="Times New Roman" w:hAnsi="Times New Roman" w:cs="Times New Roman"/>
          <w:sz w:val="24"/>
          <w:szCs w:val="24"/>
          <w:lang w:val="mk-MK"/>
        </w:rPr>
        <w:t>Sabbatini</w:t>
      </w:r>
      <w:proofErr w:type="spellEnd"/>
      <w:r w:rsidRPr="000B2D0C">
        <w:rPr>
          <w:rFonts w:ascii="Times New Roman" w:hAnsi="Times New Roman" w:cs="Times New Roman"/>
          <w:sz w:val="24"/>
          <w:szCs w:val="24"/>
          <w:lang w:val="mk-MK"/>
        </w:rPr>
        <w:t>, 2008 год.).</w:t>
      </w:r>
      <w:r w:rsidR="0047417E" w:rsidRPr="000B2D0C">
        <w:rPr>
          <w:rFonts w:ascii="Times New Roman" w:hAnsi="Times New Roman" w:cs="Times New Roman"/>
          <w:sz w:val="24"/>
          <w:szCs w:val="24"/>
          <w:lang w:val="mk-MK"/>
        </w:rPr>
        <w:t xml:space="preserve"> </w:t>
      </w:r>
    </w:p>
    <w:p w:rsidR="00EA4DCA" w:rsidRDefault="00EA4DCA" w:rsidP="000B2D0C">
      <w:pPr>
        <w:pStyle w:val="ListParagraph"/>
        <w:numPr>
          <w:ilvl w:val="0"/>
          <w:numId w:val="2"/>
        </w:numPr>
        <w:spacing w:after="0" w:line="276"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Комисијата мора да го зголеми и зајакне кадровскиот капацитет во стручните служби задолжени за спроведување на законот за заштита на конкуренцијата. Склучените меѓународни договори за соработка, членството во меѓународните организации на </w:t>
      </w:r>
      <w:proofErr w:type="spellStart"/>
      <w:r>
        <w:rPr>
          <w:rFonts w:ascii="Times New Roman" w:hAnsi="Times New Roman" w:cs="Times New Roman"/>
          <w:sz w:val="24"/>
          <w:szCs w:val="24"/>
          <w:lang w:val="mk-MK"/>
        </w:rPr>
        <w:t>регулаторни</w:t>
      </w:r>
      <w:proofErr w:type="spellEnd"/>
      <w:r>
        <w:rPr>
          <w:rFonts w:ascii="Times New Roman" w:hAnsi="Times New Roman" w:cs="Times New Roman"/>
          <w:sz w:val="24"/>
          <w:szCs w:val="24"/>
          <w:lang w:val="mk-MK"/>
        </w:rPr>
        <w:t xml:space="preserve">  институции и тела </w:t>
      </w:r>
      <w:r w:rsidR="00405889">
        <w:rPr>
          <w:rFonts w:ascii="Times New Roman" w:hAnsi="Times New Roman" w:cs="Times New Roman"/>
          <w:sz w:val="24"/>
          <w:szCs w:val="24"/>
          <w:lang w:val="mk-MK"/>
        </w:rPr>
        <w:t xml:space="preserve">интензивно </w:t>
      </w:r>
      <w:r>
        <w:rPr>
          <w:rFonts w:ascii="Times New Roman" w:hAnsi="Times New Roman" w:cs="Times New Roman"/>
          <w:sz w:val="24"/>
          <w:szCs w:val="24"/>
          <w:lang w:val="mk-MK"/>
        </w:rPr>
        <w:t xml:space="preserve">да се </w:t>
      </w:r>
      <w:r w:rsidR="00405889">
        <w:rPr>
          <w:rFonts w:ascii="Times New Roman" w:hAnsi="Times New Roman" w:cs="Times New Roman"/>
          <w:sz w:val="24"/>
          <w:szCs w:val="24"/>
          <w:lang w:val="mk-MK"/>
        </w:rPr>
        <w:t xml:space="preserve">користат во </w:t>
      </w:r>
      <w:proofErr w:type="spellStart"/>
      <w:r w:rsidR="00405889">
        <w:rPr>
          <w:rFonts w:ascii="Times New Roman" w:hAnsi="Times New Roman" w:cs="Times New Roman"/>
          <w:sz w:val="24"/>
          <w:szCs w:val="24"/>
          <w:lang w:val="mk-MK"/>
        </w:rPr>
        <w:t>дообука</w:t>
      </w:r>
      <w:proofErr w:type="spellEnd"/>
      <w:r w:rsidR="00405889">
        <w:rPr>
          <w:rFonts w:ascii="Times New Roman" w:hAnsi="Times New Roman" w:cs="Times New Roman"/>
          <w:sz w:val="24"/>
          <w:szCs w:val="24"/>
          <w:lang w:val="mk-MK"/>
        </w:rPr>
        <w:t xml:space="preserve"> и стручно усовршување на вработените во овие служби.</w:t>
      </w:r>
    </w:p>
    <w:p w:rsidR="00405889" w:rsidRDefault="00B3070F" w:rsidP="000B2D0C">
      <w:pPr>
        <w:pStyle w:val="ListParagraph"/>
        <w:numPr>
          <w:ilvl w:val="0"/>
          <w:numId w:val="2"/>
        </w:numPr>
        <w:spacing w:after="0" w:line="276" w:lineRule="auto"/>
        <w:jc w:val="both"/>
        <w:rPr>
          <w:rFonts w:ascii="Times New Roman" w:hAnsi="Times New Roman" w:cs="Times New Roman"/>
          <w:sz w:val="24"/>
          <w:szCs w:val="24"/>
          <w:lang w:val="mk-MK"/>
        </w:rPr>
      </w:pPr>
      <w:r w:rsidRPr="00B3070F">
        <w:rPr>
          <w:rFonts w:ascii="Times New Roman" w:hAnsi="Times New Roman" w:cs="Times New Roman"/>
          <w:sz w:val="24"/>
          <w:szCs w:val="24"/>
          <w:lang w:val="mk-MK"/>
        </w:rPr>
        <w:t>Во насока на јакнење на кредибилитетот на донесените одлуки</w:t>
      </w:r>
      <w:r>
        <w:rPr>
          <w:rFonts w:ascii="Times New Roman" w:hAnsi="Times New Roman" w:cs="Times New Roman"/>
          <w:sz w:val="24"/>
          <w:szCs w:val="24"/>
          <w:lang w:val="mk-MK"/>
        </w:rPr>
        <w:t>, се препорачува Комисијата</w:t>
      </w:r>
      <w:r w:rsidRPr="00B3070F">
        <w:rPr>
          <w:rFonts w:ascii="Times New Roman" w:hAnsi="Times New Roman" w:cs="Times New Roman"/>
          <w:sz w:val="24"/>
          <w:szCs w:val="24"/>
          <w:lang w:val="mk-MK"/>
        </w:rPr>
        <w:t xml:space="preserve"> да размисли за отворање на посебна организациона единица која ќе се занимава исклучиво со спроведување на економски анализи и истражувања</w:t>
      </w:r>
      <w:r>
        <w:rPr>
          <w:rFonts w:ascii="Times New Roman" w:hAnsi="Times New Roman" w:cs="Times New Roman"/>
          <w:sz w:val="24"/>
          <w:szCs w:val="24"/>
          <w:lang w:val="mk-MK"/>
        </w:rPr>
        <w:t xml:space="preserve">, која ќе биде задолжена за спроведување на </w:t>
      </w:r>
      <w:proofErr w:type="spellStart"/>
      <w:r>
        <w:rPr>
          <w:rFonts w:ascii="Times New Roman" w:hAnsi="Times New Roman" w:cs="Times New Roman"/>
          <w:sz w:val="24"/>
          <w:szCs w:val="24"/>
          <w:lang w:val="mk-MK"/>
        </w:rPr>
        <w:t>антитрустовската</w:t>
      </w:r>
      <w:proofErr w:type="spellEnd"/>
      <w:r>
        <w:rPr>
          <w:rFonts w:ascii="Times New Roman" w:hAnsi="Times New Roman" w:cs="Times New Roman"/>
          <w:sz w:val="24"/>
          <w:szCs w:val="24"/>
          <w:lang w:val="mk-MK"/>
        </w:rPr>
        <w:t xml:space="preserve"> анализа во отворените истражни постапки. На тој начин и одлуките за утврдените прекршоци и изречени казни ќе бидат соодветно со издржани докази и анализи потврдени. Исто така, во оваа единица ќе се работи на </w:t>
      </w:r>
      <w:r w:rsidRPr="00B3070F">
        <w:rPr>
          <w:rFonts w:ascii="Times New Roman" w:hAnsi="Times New Roman" w:cs="Times New Roman"/>
          <w:sz w:val="24"/>
          <w:szCs w:val="24"/>
          <w:lang w:val="mk-MK"/>
        </w:rPr>
        <w:t>развој на адекватни бази на податоци</w:t>
      </w:r>
      <w:r>
        <w:rPr>
          <w:rFonts w:ascii="Times New Roman" w:hAnsi="Times New Roman" w:cs="Times New Roman"/>
          <w:sz w:val="24"/>
          <w:szCs w:val="24"/>
          <w:lang w:val="mk-MK"/>
        </w:rPr>
        <w:t xml:space="preserve"> кои ќе го олеснат следењето на ефектите од реализираните активности на КЗК.</w:t>
      </w:r>
    </w:p>
    <w:p w:rsidR="00EA0602" w:rsidRPr="00EA0602" w:rsidRDefault="00EA0602" w:rsidP="00EA0602">
      <w:pPr>
        <w:pStyle w:val="ListParagraph"/>
        <w:numPr>
          <w:ilvl w:val="0"/>
          <w:numId w:val="2"/>
        </w:numPr>
        <w:spacing w:line="276" w:lineRule="auto"/>
        <w:jc w:val="both"/>
        <w:rPr>
          <w:rFonts w:ascii="Times New Roman" w:hAnsi="Times New Roman" w:cs="Times New Roman"/>
          <w:sz w:val="24"/>
          <w:szCs w:val="24"/>
          <w:lang w:val="mk-MK"/>
        </w:rPr>
      </w:pPr>
      <w:r w:rsidRPr="00EA0602">
        <w:rPr>
          <w:rFonts w:ascii="Times New Roman" w:hAnsi="Times New Roman" w:cs="Times New Roman"/>
          <w:sz w:val="24"/>
          <w:szCs w:val="24"/>
          <w:lang w:val="mk-MK"/>
        </w:rPr>
        <w:t>За јакнење на пазарната култура и за зголемување на нивото на свесност за потребата и позитивните ефекти од силна пазарна конкуренција, КЗК мора да ја зголеми транспарентноста во своето работење. Прво, да преземе дејствија со кои јавноста подобро ќе ја информира за нејзиното постоење, значење и активности. Тоа може да го направи со организирање на семинари, курсеви и обуки во кои ќе бидат опфатени слушатели од разни интересни групи, почнувајќи од претставниците на приватниот сектор (фирми, здруженија, комори), преку претставници од државните компании и институции, до претставниците на академската заедница и студентите</w:t>
      </w:r>
      <w:r>
        <w:rPr>
          <w:rFonts w:ascii="Times New Roman" w:hAnsi="Times New Roman" w:cs="Times New Roman"/>
          <w:sz w:val="24"/>
          <w:szCs w:val="24"/>
          <w:lang w:val="mk-MK"/>
        </w:rPr>
        <w:t xml:space="preserve">. </w:t>
      </w:r>
      <w:r w:rsidRPr="00EA0602">
        <w:rPr>
          <w:rFonts w:ascii="Times New Roman" w:hAnsi="Times New Roman" w:cs="Times New Roman"/>
          <w:sz w:val="24"/>
          <w:szCs w:val="24"/>
          <w:lang w:val="mk-MK"/>
        </w:rPr>
        <w:t>Понатаму, транспарентноста може да се подобри преку зголемување на соопштенијата со кои КЗК почесто ќе ја известува јавноста за своите активности. Во таа насока може да се размислува и за зголемување на бројот на публикации кои оваа институција ќе и’ ги понуди на стручната и на пошироката јавност. Преку овие активности, КЗК отвора простор и за зголемување на нејзината советодавна функција (</w:t>
      </w:r>
      <w:proofErr w:type="spellStart"/>
      <w:r w:rsidRPr="00EA0602">
        <w:rPr>
          <w:rFonts w:ascii="Times New Roman" w:hAnsi="Times New Roman" w:cs="Times New Roman"/>
          <w:sz w:val="24"/>
          <w:szCs w:val="24"/>
          <w:lang w:val="mk-MK"/>
        </w:rPr>
        <w:t>competition</w:t>
      </w:r>
      <w:proofErr w:type="spellEnd"/>
      <w:r w:rsidRPr="00EA0602">
        <w:rPr>
          <w:rFonts w:ascii="Times New Roman" w:hAnsi="Times New Roman" w:cs="Times New Roman"/>
          <w:sz w:val="24"/>
          <w:szCs w:val="24"/>
          <w:lang w:val="mk-MK"/>
        </w:rPr>
        <w:t xml:space="preserve"> </w:t>
      </w:r>
      <w:proofErr w:type="spellStart"/>
      <w:r w:rsidRPr="00EA0602">
        <w:rPr>
          <w:rFonts w:ascii="Times New Roman" w:hAnsi="Times New Roman" w:cs="Times New Roman"/>
          <w:sz w:val="24"/>
          <w:szCs w:val="24"/>
          <w:lang w:val="mk-MK"/>
        </w:rPr>
        <w:t>advocacy</w:t>
      </w:r>
      <w:proofErr w:type="spellEnd"/>
      <w:r w:rsidRPr="00EA0602">
        <w:rPr>
          <w:rFonts w:ascii="Times New Roman" w:hAnsi="Times New Roman" w:cs="Times New Roman"/>
          <w:sz w:val="24"/>
          <w:szCs w:val="24"/>
          <w:lang w:val="mk-MK"/>
        </w:rPr>
        <w:t xml:space="preserve">). </w:t>
      </w:r>
    </w:p>
    <w:p w:rsidR="00EA0602" w:rsidRPr="00EA0602" w:rsidRDefault="00EA0602" w:rsidP="00EA0602">
      <w:pPr>
        <w:pStyle w:val="ListParagraph"/>
        <w:numPr>
          <w:ilvl w:val="0"/>
          <w:numId w:val="2"/>
        </w:numPr>
        <w:spacing w:line="276" w:lineRule="auto"/>
        <w:jc w:val="both"/>
        <w:rPr>
          <w:rFonts w:ascii="Times New Roman" w:hAnsi="Times New Roman" w:cs="Times New Roman"/>
          <w:sz w:val="24"/>
          <w:szCs w:val="24"/>
          <w:lang w:val="mk-MK"/>
        </w:rPr>
      </w:pPr>
      <w:r w:rsidRPr="00EA0602">
        <w:rPr>
          <w:rFonts w:ascii="Times New Roman" w:hAnsi="Times New Roman" w:cs="Times New Roman"/>
          <w:sz w:val="24"/>
          <w:szCs w:val="24"/>
          <w:lang w:val="mk-MK"/>
        </w:rPr>
        <w:lastRenderedPageBreak/>
        <w:t xml:space="preserve">За остварување на  втората цел од примената на  регулативата за заштита на конкуренцијата - заштитата на благосостојбата на потрошувачите, КЗК, треба да ги зајакне активностите за информирање на потрошувачите за </w:t>
      </w:r>
      <w:r>
        <w:rPr>
          <w:rFonts w:ascii="Times New Roman" w:hAnsi="Times New Roman" w:cs="Times New Roman"/>
          <w:sz w:val="24"/>
          <w:szCs w:val="24"/>
          <w:lang w:val="mk-MK"/>
        </w:rPr>
        <w:t>придобивките</w:t>
      </w:r>
      <w:r w:rsidRPr="00EA0602">
        <w:rPr>
          <w:rFonts w:ascii="Times New Roman" w:hAnsi="Times New Roman" w:cs="Times New Roman"/>
          <w:sz w:val="24"/>
          <w:szCs w:val="24"/>
          <w:lang w:val="mk-MK"/>
        </w:rPr>
        <w:t xml:space="preserve"> од оваа политика во смисла на </w:t>
      </w:r>
      <w:r>
        <w:rPr>
          <w:rFonts w:ascii="Times New Roman" w:hAnsi="Times New Roman" w:cs="Times New Roman"/>
          <w:sz w:val="24"/>
          <w:szCs w:val="24"/>
          <w:lang w:val="mk-MK"/>
        </w:rPr>
        <w:t xml:space="preserve">обезбедување на </w:t>
      </w:r>
      <w:r w:rsidRPr="00EA0602">
        <w:rPr>
          <w:rFonts w:ascii="Times New Roman" w:hAnsi="Times New Roman" w:cs="Times New Roman"/>
          <w:sz w:val="24"/>
          <w:szCs w:val="24"/>
          <w:lang w:val="mk-MK"/>
        </w:rPr>
        <w:t>понуда на производи со пониски цени, подобар квалитет и со поголем диверзитет. Значи, КЗК треба да работи кон приближување на целите на политиката за заштита на конкуренцијата со политиката за заштита на интересите на потрошувачите (што од скоро време, како тренд е препознаен и се применува од страна на Европската комисија). Од стручен аспект, за да може поверодостојно да се мерат ефектите врз заштитата на потрошувачкиот вишок, КЗК треба да развие соодветна методологија за мерење на истите, и секако, оваа анализа да стане дел од содржината во редовните извештаи кои таа ќе ги публикува. На овој начин КЗК ќе се обезбеди со подобри контролни индикатори за мерење на ефикасноста во примената на регулативата за заштита на конкуренцијата.</w:t>
      </w:r>
    </w:p>
    <w:p w:rsidR="00872DC9" w:rsidRPr="00B654F2" w:rsidRDefault="00872DC9" w:rsidP="00EA0602">
      <w:pPr>
        <w:spacing w:line="276" w:lineRule="auto"/>
        <w:rPr>
          <w:rFonts w:ascii="Times New Roman" w:hAnsi="Times New Roman" w:cs="Times New Roman"/>
          <w:b/>
          <w:sz w:val="24"/>
          <w:szCs w:val="24"/>
          <w:lang w:val="mk-MK"/>
        </w:rPr>
      </w:pPr>
      <w:r w:rsidRPr="00B654F2">
        <w:rPr>
          <w:rFonts w:ascii="Times New Roman" w:hAnsi="Times New Roman" w:cs="Times New Roman"/>
          <w:b/>
          <w:sz w:val="24"/>
          <w:szCs w:val="24"/>
          <w:lang w:val="mk-MK"/>
        </w:rPr>
        <w:t>Користена литература</w:t>
      </w:r>
    </w:p>
    <w:p w:rsidR="005D47F4" w:rsidRPr="005B2679" w:rsidRDefault="00E42C97" w:rsidP="00EA0602">
      <w:pPr>
        <w:spacing w:after="120" w:line="276" w:lineRule="auto"/>
        <w:jc w:val="both"/>
        <w:rPr>
          <w:rFonts w:ascii="Times New Roman" w:hAnsi="Times New Roman" w:cs="Times New Roman"/>
        </w:rPr>
      </w:pPr>
      <w:r w:rsidRPr="005B2679">
        <w:rPr>
          <w:rFonts w:ascii="Times New Roman" w:hAnsi="Times New Roman" w:cs="Times New Roman"/>
        </w:rPr>
        <w:t>European Commission (2019</w:t>
      </w:r>
      <w:r w:rsidR="007C6C00" w:rsidRPr="005B2679">
        <w:rPr>
          <w:rFonts w:ascii="Times New Roman" w:hAnsi="Times New Roman" w:cs="Times New Roman"/>
        </w:rPr>
        <w:t>a</w:t>
      </w:r>
      <w:r w:rsidRPr="005B2679">
        <w:rPr>
          <w:rFonts w:ascii="Times New Roman" w:hAnsi="Times New Roman" w:cs="Times New Roman"/>
        </w:rPr>
        <w:t xml:space="preserve">): Commission Staff Working Document: Montenegro 2019 Report, Accompanying the </w:t>
      </w:r>
      <w:r w:rsidR="007C6C00" w:rsidRPr="005B2679">
        <w:rPr>
          <w:rFonts w:ascii="Times New Roman" w:hAnsi="Times New Roman" w:cs="Times New Roman"/>
        </w:rPr>
        <w:t>document:</w:t>
      </w:r>
      <w:r w:rsidRPr="005B2679">
        <w:rPr>
          <w:rFonts w:ascii="Times New Roman" w:hAnsi="Times New Roman" w:cs="Times New Roman"/>
        </w:rPr>
        <w:t xml:space="preserve"> Communication</w:t>
      </w:r>
      <w:r w:rsidR="007C6C00" w:rsidRPr="005B2679">
        <w:rPr>
          <w:rFonts w:ascii="Times New Roman" w:hAnsi="Times New Roman" w:cs="Times New Roman"/>
        </w:rPr>
        <w:t xml:space="preserve"> from the Commission to the European Parliament, the Council, the European Economic and Social Committee and the Committee of the Regions, 2019 Communication on EU Enlargement Policy </w:t>
      </w:r>
      <w:r w:rsidRPr="005B2679">
        <w:rPr>
          <w:rFonts w:ascii="Times New Roman" w:hAnsi="Times New Roman" w:cs="Times New Roman"/>
        </w:rPr>
        <w:t>(COM (2019, 260 final))</w:t>
      </w:r>
    </w:p>
    <w:p w:rsidR="00E42C97" w:rsidRPr="005B2679" w:rsidRDefault="00E42C97" w:rsidP="004A0E7F">
      <w:pPr>
        <w:spacing w:after="120" w:line="240" w:lineRule="auto"/>
        <w:jc w:val="both"/>
        <w:rPr>
          <w:rFonts w:ascii="Times New Roman" w:hAnsi="Times New Roman" w:cs="Times New Roman"/>
        </w:rPr>
      </w:pPr>
      <w:r w:rsidRPr="005B2679">
        <w:rPr>
          <w:rFonts w:ascii="Times New Roman" w:hAnsi="Times New Roman" w:cs="Times New Roman"/>
        </w:rPr>
        <w:t>European Commission (2019</w:t>
      </w:r>
      <w:r w:rsidR="007C6C00" w:rsidRPr="005B2679">
        <w:rPr>
          <w:rFonts w:ascii="Times New Roman" w:hAnsi="Times New Roman" w:cs="Times New Roman"/>
        </w:rPr>
        <w:t>b)</w:t>
      </w:r>
      <w:r w:rsidRPr="005B2679">
        <w:rPr>
          <w:rFonts w:ascii="Times New Roman" w:hAnsi="Times New Roman" w:cs="Times New Roman"/>
        </w:rPr>
        <w:t xml:space="preserve">: Commission Staff Working Document: Serbia 2019 Report, </w:t>
      </w:r>
      <w:r w:rsidR="007C6C00" w:rsidRPr="005B2679">
        <w:rPr>
          <w:rFonts w:ascii="Times New Roman" w:hAnsi="Times New Roman" w:cs="Times New Roman"/>
        </w:rPr>
        <w:t xml:space="preserve">Accompanying the document: Communication from the Commission to the European Parliament, the Council, the European Economic and Social Committee and the Committee of the Regions, 2019 Communication on EU Enlargement Policy </w:t>
      </w:r>
      <w:r w:rsidRPr="005B2679">
        <w:rPr>
          <w:rFonts w:ascii="Times New Roman" w:hAnsi="Times New Roman" w:cs="Times New Roman"/>
        </w:rPr>
        <w:t>(COM (2019, 260 final))</w:t>
      </w:r>
    </w:p>
    <w:p w:rsidR="00B654F2" w:rsidRPr="005B2679" w:rsidRDefault="008840AE" w:rsidP="004A0E7F">
      <w:pPr>
        <w:spacing w:after="120" w:line="240" w:lineRule="auto"/>
        <w:ind w:left="720" w:hanging="720"/>
        <w:jc w:val="both"/>
        <w:rPr>
          <w:rFonts w:ascii="Times New Roman" w:hAnsi="Times New Roman" w:cs="Times New Roman"/>
          <w:lang w:val="mk-MK"/>
        </w:rPr>
      </w:pPr>
      <w:r w:rsidRPr="005B2679">
        <w:rPr>
          <w:rFonts w:ascii="Times New Roman" w:hAnsi="Times New Roman" w:cs="Times New Roman"/>
          <w:lang w:val="mk-MK"/>
        </w:rPr>
        <w:t>Европска комисија (2019): Извештај на Европската Коми</w:t>
      </w:r>
      <w:r w:rsidR="00B654F2" w:rsidRPr="005B2679">
        <w:rPr>
          <w:rFonts w:ascii="Times New Roman" w:hAnsi="Times New Roman" w:cs="Times New Roman"/>
          <w:lang w:val="mk-MK"/>
        </w:rPr>
        <w:t>сија за напредокот на Република</w:t>
      </w:r>
    </w:p>
    <w:p w:rsidR="008840AE" w:rsidRPr="005B2679" w:rsidRDefault="008840AE" w:rsidP="004A0E7F">
      <w:pPr>
        <w:spacing w:after="120" w:line="240" w:lineRule="auto"/>
        <w:ind w:left="720" w:hanging="720"/>
        <w:jc w:val="both"/>
        <w:rPr>
          <w:rFonts w:ascii="Times New Roman" w:hAnsi="Times New Roman" w:cs="Times New Roman"/>
          <w:lang w:val="mk-MK"/>
        </w:rPr>
      </w:pPr>
      <w:r w:rsidRPr="005B2679">
        <w:rPr>
          <w:rFonts w:ascii="Times New Roman" w:hAnsi="Times New Roman" w:cs="Times New Roman"/>
          <w:lang w:val="mk-MK"/>
        </w:rPr>
        <w:t>Македонија за 201</w:t>
      </w:r>
      <w:r w:rsidR="00A8454A" w:rsidRPr="005B2679">
        <w:rPr>
          <w:rFonts w:ascii="Times New Roman" w:hAnsi="Times New Roman" w:cs="Times New Roman"/>
          <w:lang w:val="mk-MK"/>
        </w:rPr>
        <w:t>9</w:t>
      </w:r>
      <w:r w:rsidRPr="005B2679">
        <w:rPr>
          <w:rFonts w:ascii="Times New Roman" w:hAnsi="Times New Roman" w:cs="Times New Roman"/>
          <w:lang w:val="mk-MK"/>
        </w:rPr>
        <w:t xml:space="preserve"> година, (С</w:t>
      </w:r>
      <w:r w:rsidR="00A8454A" w:rsidRPr="005B2679">
        <w:rPr>
          <w:rFonts w:ascii="Times New Roman" w:hAnsi="Times New Roman" w:cs="Times New Roman"/>
          <w:lang w:val="mk-MK"/>
        </w:rPr>
        <w:t>ОМ 2019</w:t>
      </w:r>
      <w:r w:rsidRPr="005B2679">
        <w:rPr>
          <w:rFonts w:ascii="Times New Roman" w:hAnsi="Times New Roman" w:cs="Times New Roman"/>
          <w:lang w:val="mk-MK"/>
        </w:rPr>
        <w:t xml:space="preserve">, 600 </w:t>
      </w:r>
      <w:proofErr w:type="spellStart"/>
      <w:r w:rsidRPr="005B2679">
        <w:rPr>
          <w:rFonts w:ascii="Times New Roman" w:hAnsi="Times New Roman" w:cs="Times New Roman"/>
          <w:lang w:val="mk-MK"/>
        </w:rPr>
        <w:t>final</w:t>
      </w:r>
      <w:proofErr w:type="spellEnd"/>
      <w:r w:rsidRPr="005B2679">
        <w:rPr>
          <w:rFonts w:ascii="Times New Roman" w:hAnsi="Times New Roman" w:cs="Times New Roman"/>
          <w:lang w:val="mk-MK"/>
        </w:rPr>
        <w:t>), поглавје 8.</w:t>
      </w:r>
    </w:p>
    <w:p w:rsidR="001C39E4" w:rsidRPr="005B2679" w:rsidRDefault="001C39E4" w:rsidP="004A0E7F">
      <w:pPr>
        <w:spacing w:after="120" w:line="240" w:lineRule="auto"/>
        <w:jc w:val="both"/>
        <w:rPr>
          <w:rFonts w:ascii="Times New Roman" w:hAnsi="Times New Roman" w:cs="Times New Roman"/>
          <w:lang w:val="mk-MK"/>
        </w:rPr>
      </w:pPr>
      <w:r w:rsidRPr="005B2679">
        <w:rPr>
          <w:rFonts w:ascii="Times New Roman" w:hAnsi="Times New Roman" w:cs="Times New Roman"/>
          <w:lang w:val="mk-MK"/>
        </w:rPr>
        <w:t xml:space="preserve">Дваесетти извештај од следењето на процесот на пристапување на Македонија во ЕУ: </w:t>
      </w:r>
      <w:r w:rsidRPr="005B2679">
        <w:rPr>
          <w:rFonts w:ascii="Times New Roman" w:hAnsi="Times New Roman" w:cs="Times New Roman"/>
          <w:i/>
          <w:lang w:val="mk-MK"/>
        </w:rPr>
        <w:t>Комисија во сенка, конкуренција за декор</w:t>
      </w:r>
      <w:r w:rsidRPr="005B2679">
        <w:rPr>
          <w:rFonts w:ascii="Times New Roman" w:hAnsi="Times New Roman" w:cs="Times New Roman"/>
          <w:lang w:val="mk-MK"/>
        </w:rPr>
        <w:t xml:space="preserve">, Македонски центар за европско образование </w:t>
      </w:r>
      <w:r w:rsidR="00CD0B04" w:rsidRPr="005B2679">
        <w:rPr>
          <w:rFonts w:ascii="Times New Roman" w:hAnsi="Times New Roman" w:cs="Times New Roman"/>
          <w:lang w:val="mk-MK"/>
        </w:rPr>
        <w:t xml:space="preserve">(МЦЕО) </w:t>
      </w:r>
      <w:r w:rsidRPr="005B2679">
        <w:rPr>
          <w:rFonts w:ascii="Times New Roman" w:hAnsi="Times New Roman" w:cs="Times New Roman"/>
          <w:lang w:val="mk-MK"/>
        </w:rPr>
        <w:t>и Фондација Отворено општество – Македонија</w:t>
      </w:r>
      <w:r w:rsidR="00CD0B04" w:rsidRPr="005B2679">
        <w:rPr>
          <w:rFonts w:ascii="Times New Roman" w:hAnsi="Times New Roman" w:cs="Times New Roman"/>
          <w:lang w:val="mk-MK"/>
        </w:rPr>
        <w:t xml:space="preserve"> (ФООМ)</w:t>
      </w:r>
      <w:r w:rsidRPr="005B2679">
        <w:rPr>
          <w:rFonts w:ascii="Times New Roman" w:hAnsi="Times New Roman" w:cs="Times New Roman"/>
          <w:lang w:val="mk-MK"/>
        </w:rPr>
        <w:t xml:space="preserve">, 2014 </w:t>
      </w:r>
    </w:p>
    <w:p w:rsidR="008E49BA" w:rsidRPr="005B2679" w:rsidRDefault="008E49BA" w:rsidP="004A0E7F">
      <w:pPr>
        <w:spacing w:after="120" w:line="240" w:lineRule="auto"/>
        <w:ind w:hanging="11"/>
        <w:rPr>
          <w:rFonts w:ascii="Times New Roman" w:hAnsi="Times New Roman" w:cs="Times New Roman"/>
        </w:rPr>
      </w:pPr>
      <w:proofErr w:type="spellStart"/>
      <w:r w:rsidRPr="005B2679">
        <w:rPr>
          <w:rFonts w:ascii="Times New Roman" w:hAnsi="Times New Roman" w:cs="Times New Roman"/>
        </w:rPr>
        <w:t>Penev</w:t>
      </w:r>
      <w:proofErr w:type="spellEnd"/>
      <w:r w:rsidRPr="005B2679">
        <w:rPr>
          <w:rFonts w:ascii="Times New Roman" w:hAnsi="Times New Roman" w:cs="Times New Roman"/>
        </w:rPr>
        <w:t xml:space="preserve"> S., </w:t>
      </w:r>
      <w:proofErr w:type="spellStart"/>
      <w:r w:rsidRPr="005B2679">
        <w:rPr>
          <w:rFonts w:ascii="Times New Roman" w:hAnsi="Times New Roman" w:cs="Times New Roman"/>
        </w:rPr>
        <w:t>Marusic</w:t>
      </w:r>
      <w:proofErr w:type="spellEnd"/>
      <w:r w:rsidRPr="005B2679">
        <w:rPr>
          <w:rFonts w:ascii="Times New Roman" w:hAnsi="Times New Roman" w:cs="Times New Roman"/>
        </w:rPr>
        <w:t xml:space="preserve"> A., </w:t>
      </w:r>
      <w:proofErr w:type="spellStart"/>
      <w:r w:rsidRPr="005B2679">
        <w:rPr>
          <w:rFonts w:ascii="Times New Roman" w:hAnsi="Times New Roman" w:cs="Times New Roman"/>
        </w:rPr>
        <w:t>Mancellari</w:t>
      </w:r>
      <w:proofErr w:type="spellEnd"/>
      <w:r w:rsidRPr="005B2679">
        <w:rPr>
          <w:rFonts w:ascii="Times New Roman" w:hAnsi="Times New Roman" w:cs="Times New Roman"/>
        </w:rPr>
        <w:t xml:space="preserve"> A., </w:t>
      </w:r>
      <w:proofErr w:type="spellStart"/>
      <w:r w:rsidRPr="005B2679">
        <w:rPr>
          <w:rFonts w:ascii="Times New Roman" w:hAnsi="Times New Roman" w:cs="Times New Roman"/>
        </w:rPr>
        <w:t>Milovic</w:t>
      </w:r>
      <w:proofErr w:type="spellEnd"/>
      <w:r w:rsidRPr="005B2679">
        <w:rPr>
          <w:rFonts w:ascii="Times New Roman" w:hAnsi="Times New Roman" w:cs="Times New Roman"/>
        </w:rPr>
        <w:t xml:space="preserve"> N., </w:t>
      </w:r>
      <w:proofErr w:type="spellStart"/>
      <w:r w:rsidRPr="005B2679">
        <w:rPr>
          <w:rFonts w:ascii="Times New Roman" w:hAnsi="Times New Roman" w:cs="Times New Roman"/>
        </w:rPr>
        <w:t>Causevic</w:t>
      </w:r>
      <w:proofErr w:type="spellEnd"/>
      <w:r w:rsidRPr="005B2679">
        <w:rPr>
          <w:rFonts w:ascii="Times New Roman" w:hAnsi="Times New Roman" w:cs="Times New Roman"/>
        </w:rPr>
        <w:t xml:space="preserve"> F., </w:t>
      </w:r>
      <w:proofErr w:type="spellStart"/>
      <w:r w:rsidRPr="005B2679">
        <w:rPr>
          <w:rFonts w:ascii="Times New Roman" w:hAnsi="Times New Roman" w:cs="Times New Roman"/>
        </w:rPr>
        <w:t>Hyseni</w:t>
      </w:r>
      <w:proofErr w:type="spellEnd"/>
      <w:r w:rsidRPr="005B2679">
        <w:rPr>
          <w:rFonts w:ascii="Times New Roman" w:hAnsi="Times New Roman" w:cs="Times New Roman"/>
        </w:rPr>
        <w:t xml:space="preserve"> D. (2013):</w:t>
      </w:r>
      <w:r w:rsidR="00B654F2" w:rsidRPr="005B2679">
        <w:rPr>
          <w:rFonts w:ascii="Times New Roman" w:hAnsi="Times New Roman" w:cs="Times New Roman"/>
          <w:i/>
        </w:rPr>
        <w:t xml:space="preserve"> Competition </w:t>
      </w:r>
      <w:r w:rsidRPr="005B2679">
        <w:rPr>
          <w:rFonts w:ascii="Times New Roman" w:hAnsi="Times New Roman" w:cs="Times New Roman"/>
          <w:i/>
        </w:rPr>
        <w:t>Policy in Western Balkan Countries,</w:t>
      </w:r>
      <w:r w:rsidRPr="005B2679">
        <w:rPr>
          <w:rFonts w:ascii="Times New Roman" w:hAnsi="Times New Roman" w:cs="Times New Roman"/>
        </w:rPr>
        <w:t xml:space="preserve"> WFD</w:t>
      </w:r>
    </w:p>
    <w:p w:rsidR="001D140E" w:rsidRPr="005B2679" w:rsidRDefault="001D140E" w:rsidP="004A0E7F">
      <w:pPr>
        <w:spacing w:after="120" w:line="240" w:lineRule="auto"/>
        <w:ind w:left="720" w:hanging="720"/>
        <w:rPr>
          <w:rFonts w:ascii="Times New Roman" w:hAnsi="Times New Roman" w:cs="Times New Roman"/>
        </w:rPr>
      </w:pPr>
      <w:proofErr w:type="spellStart"/>
      <w:r w:rsidRPr="005B2679">
        <w:rPr>
          <w:rFonts w:ascii="Times New Roman" w:hAnsi="Times New Roman" w:cs="Times New Roman"/>
        </w:rPr>
        <w:t>Agencija</w:t>
      </w:r>
      <w:proofErr w:type="spellEnd"/>
      <w:r w:rsidRPr="005B2679">
        <w:rPr>
          <w:rFonts w:ascii="Times New Roman" w:hAnsi="Times New Roman" w:cs="Times New Roman"/>
        </w:rPr>
        <w:t xml:space="preserve"> </w:t>
      </w:r>
      <w:proofErr w:type="spellStart"/>
      <w:r w:rsidRPr="005B2679">
        <w:rPr>
          <w:rFonts w:ascii="Times New Roman" w:hAnsi="Times New Roman" w:cs="Times New Roman"/>
        </w:rPr>
        <w:t>za</w:t>
      </w:r>
      <w:proofErr w:type="spellEnd"/>
      <w:r w:rsidRPr="005B2679">
        <w:rPr>
          <w:rFonts w:ascii="Times New Roman" w:hAnsi="Times New Roman" w:cs="Times New Roman"/>
        </w:rPr>
        <w:t xml:space="preserve"> </w:t>
      </w:r>
      <w:proofErr w:type="spellStart"/>
      <w:r w:rsidRPr="005B2679">
        <w:rPr>
          <w:rFonts w:ascii="Times New Roman" w:hAnsi="Times New Roman" w:cs="Times New Roman"/>
        </w:rPr>
        <w:t>zastitu</w:t>
      </w:r>
      <w:proofErr w:type="spellEnd"/>
      <w:r w:rsidRPr="005B2679">
        <w:rPr>
          <w:rFonts w:ascii="Times New Roman" w:hAnsi="Times New Roman" w:cs="Times New Roman"/>
        </w:rPr>
        <w:t xml:space="preserve"> </w:t>
      </w:r>
      <w:proofErr w:type="spellStart"/>
      <w:r w:rsidRPr="005B2679">
        <w:rPr>
          <w:rFonts w:ascii="Times New Roman" w:hAnsi="Times New Roman" w:cs="Times New Roman"/>
        </w:rPr>
        <w:t>konurencije</w:t>
      </w:r>
      <w:proofErr w:type="spellEnd"/>
      <w:r w:rsidRPr="005B2679">
        <w:rPr>
          <w:rFonts w:ascii="Times New Roman" w:hAnsi="Times New Roman" w:cs="Times New Roman"/>
        </w:rPr>
        <w:t xml:space="preserve"> </w:t>
      </w:r>
      <w:proofErr w:type="spellStart"/>
      <w:r w:rsidRPr="005B2679">
        <w:rPr>
          <w:rFonts w:ascii="Times New Roman" w:hAnsi="Times New Roman" w:cs="Times New Roman"/>
        </w:rPr>
        <w:t>Crna</w:t>
      </w:r>
      <w:proofErr w:type="spellEnd"/>
      <w:r w:rsidRPr="005B2679">
        <w:rPr>
          <w:rFonts w:ascii="Times New Roman" w:hAnsi="Times New Roman" w:cs="Times New Roman"/>
        </w:rPr>
        <w:t xml:space="preserve"> Gora (2017):  </w:t>
      </w:r>
      <w:proofErr w:type="spellStart"/>
      <w:r w:rsidRPr="005B2679">
        <w:rPr>
          <w:rFonts w:ascii="Times New Roman" w:hAnsi="Times New Roman" w:cs="Times New Roman"/>
          <w:i/>
        </w:rPr>
        <w:t>Izvestaj</w:t>
      </w:r>
      <w:proofErr w:type="spellEnd"/>
      <w:r w:rsidRPr="005B2679">
        <w:rPr>
          <w:rFonts w:ascii="Times New Roman" w:hAnsi="Times New Roman" w:cs="Times New Roman"/>
          <w:i/>
        </w:rPr>
        <w:t xml:space="preserve"> o </w:t>
      </w:r>
      <w:proofErr w:type="spellStart"/>
      <w:r w:rsidRPr="005B2679">
        <w:rPr>
          <w:rFonts w:ascii="Times New Roman" w:hAnsi="Times New Roman" w:cs="Times New Roman"/>
          <w:i/>
        </w:rPr>
        <w:t>radu</w:t>
      </w:r>
      <w:proofErr w:type="spellEnd"/>
      <w:r w:rsidRPr="005B2679">
        <w:rPr>
          <w:rFonts w:ascii="Times New Roman" w:hAnsi="Times New Roman" w:cs="Times New Roman"/>
          <w:i/>
        </w:rPr>
        <w:t xml:space="preserve"> </w:t>
      </w:r>
      <w:proofErr w:type="spellStart"/>
      <w:r w:rsidRPr="005B2679">
        <w:rPr>
          <w:rFonts w:ascii="Times New Roman" w:hAnsi="Times New Roman" w:cs="Times New Roman"/>
          <w:i/>
        </w:rPr>
        <w:t>za</w:t>
      </w:r>
      <w:proofErr w:type="spellEnd"/>
      <w:r w:rsidRPr="005B2679">
        <w:rPr>
          <w:rFonts w:ascii="Times New Roman" w:hAnsi="Times New Roman" w:cs="Times New Roman"/>
          <w:i/>
        </w:rPr>
        <w:t xml:space="preserve"> 2017 </w:t>
      </w:r>
      <w:proofErr w:type="spellStart"/>
      <w:r w:rsidRPr="005B2679">
        <w:rPr>
          <w:rFonts w:ascii="Times New Roman" w:hAnsi="Times New Roman" w:cs="Times New Roman"/>
          <w:i/>
        </w:rPr>
        <w:t>Godinu</w:t>
      </w:r>
      <w:proofErr w:type="spellEnd"/>
    </w:p>
    <w:p w:rsidR="00A8454A" w:rsidRPr="005B2679" w:rsidRDefault="00A8454A" w:rsidP="004A0E7F">
      <w:pPr>
        <w:spacing w:after="120" w:line="240" w:lineRule="auto"/>
        <w:jc w:val="both"/>
        <w:rPr>
          <w:rFonts w:ascii="Times New Roman" w:hAnsi="Times New Roman" w:cs="Times New Roman"/>
          <w:lang w:val="mk-MK"/>
        </w:rPr>
      </w:pPr>
      <w:r w:rsidRPr="005B2679">
        <w:rPr>
          <w:rFonts w:ascii="Times New Roman" w:hAnsi="Times New Roman" w:cs="Times New Roman"/>
          <w:lang w:val="mk-MK"/>
        </w:rPr>
        <w:t>Годишен Извештај за работата на Комисијата за заштита на конкуренцијата во 2010 година, КЗК 2011;</w:t>
      </w:r>
    </w:p>
    <w:p w:rsidR="00A8454A" w:rsidRPr="005B2679" w:rsidRDefault="00A8454A" w:rsidP="004A0E7F">
      <w:pPr>
        <w:spacing w:after="120" w:line="240" w:lineRule="auto"/>
        <w:jc w:val="both"/>
        <w:rPr>
          <w:rFonts w:ascii="Times New Roman" w:hAnsi="Times New Roman" w:cs="Times New Roman"/>
          <w:lang w:val="mk-MK"/>
        </w:rPr>
      </w:pPr>
      <w:r w:rsidRPr="005B2679">
        <w:rPr>
          <w:rFonts w:ascii="Times New Roman" w:hAnsi="Times New Roman" w:cs="Times New Roman"/>
          <w:lang w:val="mk-MK"/>
        </w:rPr>
        <w:t>Годишен Извештај за работата на Комисијата за заштита на конкуренцијата во 201</w:t>
      </w:r>
      <w:r w:rsidRPr="005B2679">
        <w:rPr>
          <w:rFonts w:ascii="Times New Roman" w:hAnsi="Times New Roman" w:cs="Times New Roman"/>
        </w:rPr>
        <w:t>1</w:t>
      </w:r>
      <w:r w:rsidRPr="005B2679">
        <w:rPr>
          <w:rFonts w:ascii="Times New Roman" w:hAnsi="Times New Roman" w:cs="Times New Roman"/>
          <w:lang w:val="mk-MK"/>
        </w:rPr>
        <w:t xml:space="preserve"> година, КЗК 201</w:t>
      </w:r>
      <w:r w:rsidRPr="005B2679">
        <w:rPr>
          <w:rFonts w:ascii="Times New Roman" w:hAnsi="Times New Roman" w:cs="Times New Roman"/>
        </w:rPr>
        <w:t>2</w:t>
      </w:r>
      <w:r w:rsidRPr="005B2679">
        <w:rPr>
          <w:rFonts w:ascii="Times New Roman" w:hAnsi="Times New Roman" w:cs="Times New Roman"/>
          <w:lang w:val="mk-MK"/>
        </w:rPr>
        <w:t>;</w:t>
      </w:r>
    </w:p>
    <w:p w:rsidR="00A8454A" w:rsidRPr="005B2679" w:rsidRDefault="00A8454A" w:rsidP="004A0E7F">
      <w:pPr>
        <w:spacing w:after="120" w:line="240" w:lineRule="auto"/>
        <w:jc w:val="both"/>
        <w:rPr>
          <w:rFonts w:ascii="Times New Roman" w:hAnsi="Times New Roman" w:cs="Times New Roman"/>
          <w:lang w:val="mk-MK"/>
        </w:rPr>
      </w:pPr>
      <w:r w:rsidRPr="005B2679">
        <w:rPr>
          <w:rFonts w:ascii="Times New Roman" w:hAnsi="Times New Roman" w:cs="Times New Roman"/>
          <w:lang w:val="mk-MK"/>
        </w:rPr>
        <w:t>Годишен Извештај за работата на Комисијата за заштита на конкуренцијата во 201</w:t>
      </w:r>
      <w:r w:rsidRPr="005B2679">
        <w:rPr>
          <w:rFonts w:ascii="Times New Roman" w:hAnsi="Times New Roman" w:cs="Times New Roman"/>
        </w:rPr>
        <w:t>2</w:t>
      </w:r>
      <w:r w:rsidRPr="005B2679">
        <w:rPr>
          <w:rFonts w:ascii="Times New Roman" w:hAnsi="Times New Roman" w:cs="Times New Roman"/>
          <w:lang w:val="mk-MK"/>
        </w:rPr>
        <w:t xml:space="preserve"> година, КЗК 2013;</w:t>
      </w:r>
    </w:p>
    <w:p w:rsidR="00A8454A" w:rsidRPr="005B2679" w:rsidRDefault="00A8454A" w:rsidP="004A0E7F">
      <w:pPr>
        <w:spacing w:after="120" w:line="240" w:lineRule="auto"/>
        <w:jc w:val="both"/>
        <w:rPr>
          <w:rFonts w:ascii="Times New Roman" w:hAnsi="Times New Roman" w:cs="Times New Roman"/>
          <w:lang w:val="mk-MK"/>
        </w:rPr>
      </w:pPr>
      <w:r w:rsidRPr="005B2679">
        <w:rPr>
          <w:rFonts w:ascii="Times New Roman" w:hAnsi="Times New Roman" w:cs="Times New Roman"/>
          <w:lang w:val="mk-MK"/>
        </w:rPr>
        <w:t>Годишен Извештај за работата на Комисијата за заштита на конкуренцијата во 2013 година, КЗК 2014;</w:t>
      </w:r>
    </w:p>
    <w:p w:rsidR="00A8454A" w:rsidRPr="005B2679" w:rsidRDefault="00A8454A" w:rsidP="004A0E7F">
      <w:pPr>
        <w:spacing w:after="120" w:line="240" w:lineRule="auto"/>
        <w:jc w:val="both"/>
        <w:rPr>
          <w:rFonts w:ascii="Times New Roman" w:hAnsi="Times New Roman" w:cs="Times New Roman"/>
          <w:lang w:val="mk-MK"/>
        </w:rPr>
      </w:pPr>
      <w:r w:rsidRPr="005B2679">
        <w:rPr>
          <w:rFonts w:ascii="Times New Roman" w:hAnsi="Times New Roman" w:cs="Times New Roman"/>
          <w:lang w:val="mk-MK"/>
        </w:rPr>
        <w:t>Годишен Извештај за работата на Комисијата за заштита на конкуренцијата во 2014 година, КЗК 2015;</w:t>
      </w:r>
    </w:p>
    <w:p w:rsidR="00A8454A" w:rsidRPr="005B2679" w:rsidRDefault="00A8454A" w:rsidP="004A0E7F">
      <w:pPr>
        <w:spacing w:after="120" w:line="240" w:lineRule="auto"/>
        <w:jc w:val="both"/>
        <w:rPr>
          <w:rFonts w:ascii="Times New Roman" w:hAnsi="Times New Roman" w:cs="Times New Roman"/>
          <w:lang w:val="mk-MK"/>
        </w:rPr>
      </w:pPr>
      <w:r w:rsidRPr="005B2679">
        <w:rPr>
          <w:rFonts w:ascii="Times New Roman" w:hAnsi="Times New Roman" w:cs="Times New Roman"/>
          <w:lang w:val="mk-MK"/>
        </w:rPr>
        <w:lastRenderedPageBreak/>
        <w:t>Годишен Извештај за работата на Комисијата за заштита на конкуренцијата во 2015 година, КЗК 2016;</w:t>
      </w:r>
    </w:p>
    <w:p w:rsidR="00A8454A" w:rsidRPr="005B2679" w:rsidRDefault="00A8454A" w:rsidP="004A0E7F">
      <w:pPr>
        <w:spacing w:after="120" w:line="240" w:lineRule="auto"/>
        <w:jc w:val="both"/>
        <w:rPr>
          <w:rFonts w:ascii="Times New Roman" w:hAnsi="Times New Roman" w:cs="Times New Roman"/>
          <w:lang w:val="mk-MK"/>
        </w:rPr>
      </w:pPr>
      <w:r w:rsidRPr="005B2679">
        <w:rPr>
          <w:rFonts w:ascii="Times New Roman" w:hAnsi="Times New Roman" w:cs="Times New Roman"/>
          <w:lang w:val="mk-MK"/>
        </w:rPr>
        <w:t>Годишен Извештај за работата на Комисијата за заштита на конкуренцијата во 2016 година, КЗК 2017;</w:t>
      </w:r>
    </w:p>
    <w:p w:rsidR="00A8454A" w:rsidRPr="005B2679" w:rsidRDefault="00A8454A" w:rsidP="004A0E7F">
      <w:pPr>
        <w:spacing w:after="120" w:line="240" w:lineRule="auto"/>
        <w:jc w:val="both"/>
        <w:rPr>
          <w:rFonts w:ascii="Times New Roman" w:hAnsi="Times New Roman" w:cs="Times New Roman"/>
          <w:lang w:val="mk-MK"/>
        </w:rPr>
      </w:pPr>
      <w:r w:rsidRPr="005B2679">
        <w:rPr>
          <w:rFonts w:ascii="Times New Roman" w:hAnsi="Times New Roman" w:cs="Times New Roman"/>
          <w:lang w:val="mk-MK"/>
        </w:rPr>
        <w:t>Годишен Извештај за работата на Комисијата за заштита на конкуренцијата во 2017 година, КЗК 2018;</w:t>
      </w:r>
    </w:p>
    <w:p w:rsidR="00A8454A" w:rsidRPr="005B2679" w:rsidRDefault="00A8454A" w:rsidP="004A0E7F">
      <w:pPr>
        <w:spacing w:after="120" w:line="240" w:lineRule="auto"/>
        <w:ind w:hanging="11"/>
        <w:jc w:val="both"/>
        <w:rPr>
          <w:rFonts w:ascii="Times New Roman" w:hAnsi="Times New Roman" w:cs="Times New Roman"/>
          <w:lang w:val="mk-MK"/>
        </w:rPr>
      </w:pPr>
      <w:r w:rsidRPr="005B2679">
        <w:rPr>
          <w:rFonts w:ascii="Times New Roman" w:hAnsi="Times New Roman" w:cs="Times New Roman"/>
          <w:lang w:val="mk-MK"/>
        </w:rPr>
        <w:t>Годишен Извештај за работата на Комисијата за заштита на конкуренцијата во 2018 година, КЗК 2019;</w:t>
      </w:r>
    </w:p>
    <w:p w:rsidR="00A8454A" w:rsidRPr="005B2679" w:rsidRDefault="00B758CB" w:rsidP="004A0E7F">
      <w:pPr>
        <w:spacing w:after="120" w:line="240" w:lineRule="auto"/>
        <w:rPr>
          <w:rFonts w:ascii="Times New Roman" w:hAnsi="Times New Roman" w:cs="Times New Roman"/>
        </w:rPr>
      </w:pPr>
      <w:r w:rsidRPr="005B2679">
        <w:rPr>
          <w:rFonts w:ascii="Times New Roman" w:hAnsi="Times New Roman" w:cs="Times New Roman"/>
        </w:rPr>
        <w:t xml:space="preserve">World Bank (2017): </w:t>
      </w:r>
      <w:r w:rsidRPr="005B2679">
        <w:rPr>
          <w:rFonts w:ascii="Times New Roman" w:hAnsi="Times New Roman" w:cs="Times New Roman"/>
          <w:i/>
        </w:rPr>
        <w:t>Fostering Economic Integration through Effective Competition Policies</w:t>
      </w:r>
      <w:r w:rsidRPr="005B2679">
        <w:rPr>
          <w:rFonts w:ascii="Times New Roman" w:hAnsi="Times New Roman" w:cs="Times New Roman"/>
        </w:rPr>
        <w:t xml:space="preserve">, Western Balkans: Regional </w:t>
      </w:r>
      <w:proofErr w:type="spellStart"/>
      <w:r w:rsidRPr="005B2679">
        <w:rPr>
          <w:rFonts w:ascii="Times New Roman" w:hAnsi="Times New Roman" w:cs="Times New Roman"/>
        </w:rPr>
        <w:t>Economci</w:t>
      </w:r>
      <w:proofErr w:type="spellEnd"/>
      <w:r w:rsidRPr="005B2679">
        <w:rPr>
          <w:rFonts w:ascii="Times New Roman" w:hAnsi="Times New Roman" w:cs="Times New Roman"/>
        </w:rPr>
        <w:t xml:space="preserve"> Integration Issues Note No.4</w:t>
      </w:r>
    </w:p>
    <w:p w:rsidR="00AF0AF7" w:rsidRPr="005B2679" w:rsidRDefault="00AF0AF7" w:rsidP="004A0E7F">
      <w:pPr>
        <w:spacing w:after="120" w:line="240" w:lineRule="auto"/>
        <w:jc w:val="both"/>
        <w:rPr>
          <w:rFonts w:ascii="Times New Roman" w:hAnsi="Times New Roman" w:cs="Times New Roman"/>
          <w:lang w:val="mk-MK"/>
        </w:rPr>
      </w:pPr>
      <w:proofErr w:type="spellStart"/>
      <w:r w:rsidRPr="005B2679">
        <w:rPr>
          <w:rFonts w:ascii="Times New Roman" w:hAnsi="Times New Roman" w:cs="Times New Roman"/>
          <w:lang w:val="mk-MK"/>
        </w:rPr>
        <w:t>Dutz</w:t>
      </w:r>
      <w:proofErr w:type="spellEnd"/>
      <w:r w:rsidRPr="005B2679">
        <w:rPr>
          <w:rFonts w:ascii="Times New Roman" w:hAnsi="Times New Roman" w:cs="Times New Roman"/>
          <w:lang w:val="mk-MK"/>
        </w:rPr>
        <w:t xml:space="preserve"> A. M. </w:t>
      </w:r>
      <w:proofErr w:type="spellStart"/>
      <w:r w:rsidRPr="005B2679">
        <w:rPr>
          <w:rFonts w:ascii="Times New Roman" w:hAnsi="Times New Roman" w:cs="Times New Roman"/>
          <w:lang w:val="mk-MK"/>
        </w:rPr>
        <w:t>and</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Vagliasindi</w:t>
      </w:r>
      <w:proofErr w:type="spellEnd"/>
      <w:r w:rsidRPr="005B2679">
        <w:rPr>
          <w:rFonts w:ascii="Times New Roman" w:hAnsi="Times New Roman" w:cs="Times New Roman"/>
          <w:lang w:val="mk-MK"/>
        </w:rPr>
        <w:t xml:space="preserve"> M. (2000), “</w:t>
      </w:r>
      <w:proofErr w:type="spellStart"/>
      <w:r w:rsidRPr="005B2679">
        <w:rPr>
          <w:rFonts w:ascii="Times New Roman" w:hAnsi="Times New Roman" w:cs="Times New Roman"/>
          <w:lang w:val="mk-MK"/>
        </w:rPr>
        <w:t>Competition</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Policy</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Implementation</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In</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Transition</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Economies</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An</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Empirical</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Assessment</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i/>
          <w:iCs/>
          <w:lang w:val="mk-MK"/>
        </w:rPr>
        <w:t>European</w:t>
      </w:r>
      <w:proofErr w:type="spellEnd"/>
      <w:r w:rsidRPr="005B2679">
        <w:rPr>
          <w:rFonts w:ascii="Times New Roman" w:hAnsi="Times New Roman" w:cs="Times New Roman"/>
          <w:i/>
          <w:iCs/>
          <w:lang w:val="mk-MK"/>
        </w:rPr>
        <w:t xml:space="preserve"> </w:t>
      </w:r>
      <w:proofErr w:type="spellStart"/>
      <w:r w:rsidRPr="005B2679">
        <w:rPr>
          <w:rFonts w:ascii="Times New Roman" w:hAnsi="Times New Roman" w:cs="Times New Roman"/>
          <w:i/>
          <w:iCs/>
          <w:lang w:val="mk-MK"/>
        </w:rPr>
        <w:t>Economic</w:t>
      </w:r>
      <w:proofErr w:type="spellEnd"/>
      <w:r w:rsidRPr="005B2679">
        <w:rPr>
          <w:rFonts w:ascii="Times New Roman" w:hAnsi="Times New Roman" w:cs="Times New Roman"/>
          <w:i/>
          <w:iCs/>
          <w:lang w:val="mk-MK"/>
        </w:rPr>
        <w:t xml:space="preserve"> </w:t>
      </w:r>
      <w:proofErr w:type="spellStart"/>
      <w:r w:rsidRPr="005B2679">
        <w:rPr>
          <w:rFonts w:ascii="Times New Roman" w:hAnsi="Times New Roman" w:cs="Times New Roman"/>
          <w:i/>
          <w:iCs/>
          <w:lang w:val="mk-MK"/>
        </w:rPr>
        <w:t>Review</w:t>
      </w:r>
      <w:proofErr w:type="spellEnd"/>
      <w:r w:rsidRPr="005B2679">
        <w:rPr>
          <w:rFonts w:ascii="Times New Roman" w:hAnsi="Times New Roman" w:cs="Times New Roman"/>
          <w:i/>
          <w:iCs/>
          <w:lang w:val="mk-MK"/>
        </w:rPr>
        <w:t xml:space="preserve"> </w:t>
      </w:r>
      <w:r w:rsidRPr="005B2679">
        <w:rPr>
          <w:rFonts w:ascii="Times New Roman" w:hAnsi="Times New Roman" w:cs="Times New Roman"/>
          <w:lang w:val="mk-MK"/>
        </w:rPr>
        <w:t xml:space="preserve">44,  </w:t>
      </w:r>
      <w:proofErr w:type="spellStart"/>
      <w:r w:rsidRPr="005B2679">
        <w:rPr>
          <w:rFonts w:ascii="Times New Roman" w:hAnsi="Times New Roman" w:cs="Times New Roman"/>
          <w:lang w:val="mk-MK"/>
        </w:rPr>
        <w:t>pp</w:t>
      </w:r>
      <w:proofErr w:type="spellEnd"/>
      <w:r w:rsidRPr="005B2679">
        <w:rPr>
          <w:rFonts w:ascii="Times New Roman" w:hAnsi="Times New Roman" w:cs="Times New Roman"/>
          <w:lang w:val="mk-MK"/>
        </w:rPr>
        <w:t>. 762-772;</w:t>
      </w:r>
    </w:p>
    <w:p w:rsidR="00AF0AF7" w:rsidRPr="005B2679" w:rsidRDefault="00AF0AF7" w:rsidP="004A0E7F">
      <w:pPr>
        <w:spacing w:after="120" w:line="240" w:lineRule="auto"/>
        <w:jc w:val="both"/>
        <w:rPr>
          <w:rFonts w:ascii="Times New Roman" w:hAnsi="Times New Roman" w:cs="Times New Roman"/>
          <w:color w:val="003366"/>
          <w:lang w:val="mk-MK"/>
        </w:rPr>
      </w:pPr>
      <w:proofErr w:type="spellStart"/>
      <w:r w:rsidRPr="005B2679">
        <w:rPr>
          <w:rFonts w:ascii="Times New Roman" w:hAnsi="Times New Roman" w:cs="Times New Roman"/>
          <w:lang w:val="mk-MK"/>
        </w:rPr>
        <w:t>Sabbatini</w:t>
      </w:r>
      <w:proofErr w:type="spellEnd"/>
      <w:r w:rsidRPr="005B2679">
        <w:rPr>
          <w:rFonts w:ascii="Times New Roman" w:hAnsi="Times New Roman" w:cs="Times New Roman"/>
          <w:lang w:val="mk-MK"/>
        </w:rPr>
        <w:t xml:space="preserve"> P. (2008): “</w:t>
      </w:r>
      <w:proofErr w:type="spellStart"/>
      <w:r w:rsidRPr="005B2679">
        <w:rPr>
          <w:rFonts w:ascii="Times New Roman" w:hAnsi="Times New Roman" w:cs="Times New Roman"/>
          <w:lang w:val="mk-MK"/>
        </w:rPr>
        <w:t>Funding</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the</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Budget</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of</w:t>
      </w:r>
      <w:proofErr w:type="spellEnd"/>
      <w:r w:rsidRPr="005B2679">
        <w:rPr>
          <w:rFonts w:ascii="Times New Roman" w:hAnsi="Times New Roman" w:cs="Times New Roman"/>
          <w:lang w:val="mk-MK"/>
        </w:rPr>
        <w:t xml:space="preserve"> a </w:t>
      </w:r>
      <w:proofErr w:type="spellStart"/>
      <w:r w:rsidRPr="005B2679">
        <w:rPr>
          <w:rFonts w:ascii="Times New Roman" w:hAnsi="Times New Roman" w:cs="Times New Roman"/>
          <w:lang w:val="mk-MK"/>
        </w:rPr>
        <w:t>Competition</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Authority</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with</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the</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Fines</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it</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Imposes</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available</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lang w:val="mk-MK"/>
        </w:rPr>
        <w:t>at</w:t>
      </w:r>
      <w:proofErr w:type="spellEnd"/>
      <w:r w:rsidRPr="005B2679">
        <w:rPr>
          <w:rFonts w:ascii="Times New Roman" w:hAnsi="Times New Roman" w:cs="Times New Roman"/>
          <w:lang w:val="mk-MK"/>
        </w:rPr>
        <w:t xml:space="preserve">: </w:t>
      </w:r>
      <w:r w:rsidRPr="005B2679">
        <w:rPr>
          <w:rFonts w:ascii="Times New Roman" w:hAnsi="Times New Roman" w:cs="Times New Roman"/>
          <w:color w:val="003366"/>
          <w:lang w:val="mk-MK"/>
        </w:rPr>
        <w:t xml:space="preserve">http://ssrn.com/abstract=1492666 </w:t>
      </w:r>
      <w:proofErr w:type="spellStart"/>
      <w:r w:rsidRPr="005B2679">
        <w:rPr>
          <w:rFonts w:ascii="Times New Roman" w:hAnsi="Times New Roman" w:cs="Times New Roman"/>
          <w:color w:val="003366"/>
          <w:lang w:val="mk-MK"/>
        </w:rPr>
        <w:t>or</w:t>
      </w:r>
      <w:proofErr w:type="spellEnd"/>
      <w:r w:rsidRPr="005B2679">
        <w:rPr>
          <w:rFonts w:ascii="Times New Roman" w:hAnsi="Times New Roman" w:cs="Times New Roman"/>
          <w:color w:val="003366"/>
          <w:lang w:val="mk-MK"/>
        </w:rPr>
        <w:t xml:space="preserve"> </w:t>
      </w:r>
      <w:hyperlink r:id="rId12" w:history="1">
        <w:r w:rsidRPr="005B2679">
          <w:rPr>
            <w:rStyle w:val="Hyperlink"/>
            <w:rFonts w:ascii="Times New Roman" w:hAnsi="Times New Roman" w:cs="Times New Roman"/>
            <w:lang w:val="mk-MK"/>
          </w:rPr>
          <w:t>http://dx.doi.org/10.2139/ssrn.1492666</w:t>
        </w:r>
      </w:hyperlink>
      <w:r w:rsidRPr="005B2679">
        <w:rPr>
          <w:rFonts w:ascii="Times New Roman" w:hAnsi="Times New Roman" w:cs="Times New Roman"/>
          <w:color w:val="003366"/>
          <w:lang w:val="mk-MK"/>
        </w:rPr>
        <w:t>;</w:t>
      </w:r>
    </w:p>
    <w:p w:rsidR="00F0189B" w:rsidRPr="005B2679" w:rsidRDefault="00F0189B" w:rsidP="004A0E7F">
      <w:pPr>
        <w:spacing w:after="120" w:line="240" w:lineRule="auto"/>
        <w:jc w:val="both"/>
        <w:rPr>
          <w:rFonts w:ascii="Times New Roman" w:hAnsi="Times New Roman" w:cs="Times New Roman"/>
        </w:rPr>
      </w:pPr>
      <w:proofErr w:type="spellStart"/>
      <w:r w:rsidRPr="005B2679">
        <w:rPr>
          <w:rFonts w:ascii="Times New Roman" w:hAnsi="Times New Roman" w:cs="Times New Roman"/>
          <w:lang w:val="mk-MK"/>
        </w:rPr>
        <w:t>Ilzkovitz</w:t>
      </w:r>
      <w:proofErr w:type="spellEnd"/>
      <w:r w:rsidRPr="005B2679">
        <w:rPr>
          <w:rFonts w:ascii="Times New Roman" w:hAnsi="Times New Roman" w:cs="Times New Roman"/>
          <w:lang w:val="mk-MK"/>
        </w:rPr>
        <w:t xml:space="preserve"> F. </w:t>
      </w:r>
      <w:proofErr w:type="spellStart"/>
      <w:r w:rsidRPr="005B2679">
        <w:rPr>
          <w:rFonts w:ascii="Times New Roman" w:hAnsi="Times New Roman" w:cs="Times New Roman"/>
          <w:lang w:val="mk-MK"/>
        </w:rPr>
        <w:t>and</w:t>
      </w:r>
      <w:proofErr w:type="spellEnd"/>
      <w:r w:rsidRPr="005B2679">
        <w:rPr>
          <w:rFonts w:ascii="Times New Roman" w:hAnsi="Times New Roman" w:cs="Times New Roman"/>
          <w:lang w:val="mk-MK"/>
        </w:rPr>
        <w:t xml:space="preserve"> </w:t>
      </w:r>
      <w:proofErr w:type="spellStart"/>
      <w:r w:rsidRPr="005B2679">
        <w:rPr>
          <w:rFonts w:ascii="Times New Roman" w:hAnsi="Times New Roman" w:cs="Times New Roman"/>
        </w:rPr>
        <w:t>Direx</w:t>
      </w:r>
      <w:proofErr w:type="spellEnd"/>
      <w:r w:rsidRPr="005B2679">
        <w:rPr>
          <w:rFonts w:ascii="Times New Roman" w:hAnsi="Times New Roman" w:cs="Times New Roman"/>
        </w:rPr>
        <w:t xml:space="preserve"> A. (2019): Competition policy and inclusive growth, CEPR Policy paper</w:t>
      </w:r>
    </w:p>
    <w:p w:rsidR="007F0FB2" w:rsidRPr="005B2679" w:rsidRDefault="007F0FB2" w:rsidP="004A0E7F">
      <w:pPr>
        <w:spacing w:after="120" w:line="240" w:lineRule="auto"/>
        <w:jc w:val="both"/>
        <w:rPr>
          <w:rFonts w:ascii="Times New Roman" w:hAnsi="Times New Roman" w:cs="Times New Roman"/>
        </w:rPr>
      </w:pPr>
      <w:proofErr w:type="spellStart"/>
      <w:r w:rsidRPr="005B2679">
        <w:rPr>
          <w:rFonts w:ascii="Times New Roman" w:hAnsi="Times New Roman" w:cs="Times New Roman"/>
        </w:rPr>
        <w:t>Sanfey</w:t>
      </w:r>
      <w:proofErr w:type="spellEnd"/>
      <w:r w:rsidRPr="005B2679">
        <w:rPr>
          <w:rFonts w:ascii="Times New Roman" w:hAnsi="Times New Roman" w:cs="Times New Roman"/>
        </w:rPr>
        <w:t xml:space="preserve"> P. and </w:t>
      </w:r>
      <w:proofErr w:type="spellStart"/>
      <w:r w:rsidRPr="005B2679">
        <w:rPr>
          <w:rFonts w:ascii="Times New Roman" w:hAnsi="Times New Roman" w:cs="Times New Roman"/>
        </w:rPr>
        <w:t>Milatovic</w:t>
      </w:r>
      <w:proofErr w:type="spellEnd"/>
      <w:r w:rsidRPr="005B2679">
        <w:rPr>
          <w:rFonts w:ascii="Times New Roman" w:hAnsi="Times New Roman" w:cs="Times New Roman"/>
        </w:rPr>
        <w:t xml:space="preserve"> J (2018): The Western Balkan in Transition: Diagnosing the constraints on the path to a sustainable market economy, Discussion paper, EPG </w:t>
      </w:r>
      <w:r w:rsidR="004A0E7F" w:rsidRPr="005B2679">
        <w:rPr>
          <w:rFonts w:ascii="Times New Roman" w:hAnsi="Times New Roman" w:cs="Times New Roman"/>
        </w:rPr>
        <w:t>–</w:t>
      </w:r>
      <w:r w:rsidRPr="005B2679">
        <w:rPr>
          <w:rFonts w:ascii="Times New Roman" w:hAnsi="Times New Roman" w:cs="Times New Roman"/>
        </w:rPr>
        <w:t>EBRD</w:t>
      </w:r>
    </w:p>
    <w:p w:rsidR="004A0E7F" w:rsidRPr="005B2679" w:rsidRDefault="004A0E7F" w:rsidP="004A0E7F">
      <w:pPr>
        <w:spacing w:after="120" w:line="240" w:lineRule="auto"/>
        <w:jc w:val="both"/>
        <w:rPr>
          <w:rFonts w:ascii="Times New Roman" w:hAnsi="Times New Roman" w:cs="Times New Roman"/>
        </w:rPr>
      </w:pPr>
      <w:r w:rsidRPr="005B2679">
        <w:rPr>
          <w:rFonts w:ascii="Times New Roman" w:hAnsi="Times New Roman" w:cs="Times New Roman"/>
          <w:lang w:val="mk-MK"/>
        </w:rPr>
        <w:t xml:space="preserve">Закон за заштита на конкуренцијата (Сл. Весник на РМ бр. 145/2010, 136/11, 41/14, 53/16 и 83/18) – консолидиран текст,  Комисија за заштита на Конкуренцијата, </w:t>
      </w:r>
      <w:r w:rsidRPr="005B2679">
        <w:rPr>
          <w:rFonts w:ascii="Times New Roman" w:hAnsi="Times New Roman" w:cs="Times New Roman"/>
        </w:rPr>
        <w:t>www. kzk.gov.mk</w:t>
      </w:r>
    </w:p>
    <w:p w:rsidR="00AD753E" w:rsidRPr="005B2679" w:rsidRDefault="00AD753E" w:rsidP="004A0E7F">
      <w:pPr>
        <w:spacing w:after="120" w:line="240" w:lineRule="auto"/>
        <w:jc w:val="both"/>
        <w:rPr>
          <w:rFonts w:ascii="Times New Roman" w:hAnsi="Times New Roman" w:cs="Times New Roman"/>
        </w:rPr>
      </w:pPr>
      <w:r w:rsidRPr="005B2679">
        <w:rPr>
          <w:rFonts w:ascii="Times New Roman" w:hAnsi="Times New Roman" w:cs="Times New Roman"/>
        </w:rPr>
        <w:t>OECD (2014): Guide for helping competition authorities assess the expected impact of their activities</w:t>
      </w:r>
    </w:p>
    <w:p w:rsidR="005B2679" w:rsidRDefault="005B2679" w:rsidP="005B2679">
      <w:pPr>
        <w:spacing w:after="0" w:line="240" w:lineRule="auto"/>
        <w:jc w:val="both"/>
        <w:rPr>
          <w:rFonts w:ascii="Times New Roman" w:hAnsi="Times New Roman" w:cs="Times New Roman"/>
        </w:rPr>
      </w:pPr>
      <w:r w:rsidRPr="005B2679">
        <w:rPr>
          <w:rFonts w:ascii="Times New Roman" w:hAnsi="Times New Roman" w:cs="Times New Roman"/>
        </w:rPr>
        <w:t>OECD (2016): Reference guide on ex-post evaluation of competition agencies’ enforcement decisions, Competition Division, April</w:t>
      </w:r>
    </w:p>
    <w:p w:rsidR="005B2679" w:rsidRPr="005B2679" w:rsidRDefault="005B2679" w:rsidP="005B2679">
      <w:pPr>
        <w:spacing w:after="0" w:line="240" w:lineRule="auto"/>
        <w:jc w:val="both"/>
        <w:rPr>
          <w:rFonts w:ascii="Times New Roman" w:hAnsi="Times New Roman" w:cs="Times New Roman"/>
        </w:rPr>
      </w:pPr>
    </w:p>
    <w:p w:rsidR="008E49BA" w:rsidRPr="00A8454A" w:rsidRDefault="005B2679" w:rsidP="00405889">
      <w:pPr>
        <w:spacing w:after="0" w:line="240" w:lineRule="auto"/>
        <w:jc w:val="both"/>
        <w:rPr>
          <w:rFonts w:ascii="Times New Roman" w:hAnsi="Times New Roman" w:cs="Times New Roman"/>
          <w:sz w:val="24"/>
          <w:szCs w:val="24"/>
          <w:lang w:val="mk-MK"/>
        </w:rPr>
      </w:pPr>
      <w:r w:rsidRPr="00045601">
        <w:rPr>
          <w:rFonts w:ascii="Times New Roman" w:hAnsi="Times New Roman" w:cs="Times New Roman"/>
        </w:rPr>
        <w:t>European Commission (2013):</w:t>
      </w:r>
      <w:r>
        <w:rPr>
          <w:rFonts w:ascii="Times New Roman" w:hAnsi="Times New Roman" w:cs="Times New Roman"/>
        </w:rPr>
        <w:t xml:space="preserve"> </w:t>
      </w:r>
      <w:r w:rsidRPr="00045601">
        <w:rPr>
          <w:rFonts w:ascii="Times New Roman" w:hAnsi="Times New Roman" w:cs="Times New Roman"/>
        </w:rPr>
        <w:t>Strengthening the foundations of Smart Regulation - improving regulation, Communication of the Commission, COM (2013) 686 final</w:t>
      </w:r>
    </w:p>
    <w:sectPr w:rsidR="008E49BA" w:rsidRPr="00A845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52C" w:rsidRDefault="007E152C" w:rsidP="00CD0B04">
      <w:pPr>
        <w:spacing w:after="0" w:line="240" w:lineRule="auto"/>
      </w:pPr>
      <w:r>
        <w:separator/>
      </w:r>
    </w:p>
  </w:endnote>
  <w:endnote w:type="continuationSeparator" w:id="0">
    <w:p w:rsidR="007E152C" w:rsidRDefault="007E152C" w:rsidP="00CD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52C" w:rsidRDefault="007E152C" w:rsidP="00CD0B04">
      <w:pPr>
        <w:spacing w:after="0" w:line="240" w:lineRule="auto"/>
      </w:pPr>
      <w:r>
        <w:separator/>
      </w:r>
    </w:p>
  </w:footnote>
  <w:footnote w:type="continuationSeparator" w:id="0">
    <w:p w:rsidR="007E152C" w:rsidRDefault="007E152C" w:rsidP="00CD0B04">
      <w:pPr>
        <w:spacing w:after="0" w:line="240" w:lineRule="auto"/>
      </w:pPr>
      <w:r>
        <w:continuationSeparator/>
      </w:r>
    </w:p>
  </w:footnote>
  <w:footnote w:id="1">
    <w:p w:rsidR="002130B6" w:rsidRPr="00CD0B04" w:rsidRDefault="002130B6" w:rsidP="00CD0B04">
      <w:pPr>
        <w:pStyle w:val="FootnoteText"/>
        <w:jc w:val="both"/>
        <w:rPr>
          <w:rFonts w:ascii="Times New Roman" w:hAnsi="Times New Roman" w:cs="Times New Roman"/>
          <w:lang w:val="mk-MK"/>
        </w:rPr>
      </w:pPr>
      <w:r>
        <w:rPr>
          <w:rStyle w:val="FootnoteReference"/>
        </w:rPr>
        <w:footnoteRef/>
      </w:r>
      <w:r>
        <w:t xml:space="preserve"> </w:t>
      </w:r>
      <w:r w:rsidRPr="00CD0B04">
        <w:rPr>
          <w:rFonts w:ascii="Times New Roman" w:hAnsi="Times New Roman" w:cs="Times New Roman"/>
          <w:lang w:val="mk-MK"/>
        </w:rPr>
        <w:t xml:space="preserve">Во </w:t>
      </w:r>
      <w:r>
        <w:rPr>
          <w:rFonts w:ascii="Times New Roman" w:hAnsi="Times New Roman" w:cs="Times New Roman"/>
          <w:lang w:val="mk-MK"/>
        </w:rPr>
        <w:t>Извештајот на МЦЕО и ФООМ (2014), во Анекс 1, даден е преглед на транспонираните документи од ЕУ легислативата и листата на регулативите кои ќе добијат на важност по пристапувањето на земјата во Европската унија. (стр.46-51)</w:t>
      </w:r>
    </w:p>
  </w:footnote>
  <w:footnote w:id="2">
    <w:p w:rsidR="002130B6" w:rsidRPr="00582763" w:rsidRDefault="002130B6" w:rsidP="00582763">
      <w:pPr>
        <w:pStyle w:val="FootnoteText"/>
        <w:jc w:val="both"/>
        <w:rPr>
          <w:rFonts w:ascii="Times New Roman" w:hAnsi="Times New Roman" w:cs="Times New Roman"/>
          <w:lang w:val="mk-MK"/>
        </w:rPr>
      </w:pPr>
      <w:r>
        <w:rPr>
          <w:rStyle w:val="FootnoteReference"/>
        </w:rPr>
        <w:footnoteRef/>
      </w:r>
      <w:r>
        <w:t xml:space="preserve"> </w:t>
      </w:r>
      <w:r w:rsidRPr="00582763">
        <w:rPr>
          <w:rFonts w:ascii="Times New Roman" w:hAnsi="Times New Roman" w:cs="Times New Roman"/>
          <w:lang w:val="mk-MK"/>
        </w:rPr>
        <w:t xml:space="preserve">Во </w:t>
      </w:r>
      <w:r>
        <w:rPr>
          <w:rFonts w:ascii="Times New Roman" w:hAnsi="Times New Roman" w:cs="Times New Roman"/>
          <w:lang w:val="mk-MK"/>
        </w:rPr>
        <w:t xml:space="preserve">повеќе извештаи за земјата подготвени од страна на релевантни меѓународни институции и организации се укажува на слабите перформанси на судиите и адвокатите во доменот на разрешување на случаи од </w:t>
      </w:r>
      <w:proofErr w:type="spellStart"/>
      <w:r>
        <w:rPr>
          <w:rFonts w:ascii="Times New Roman" w:hAnsi="Times New Roman" w:cs="Times New Roman"/>
          <w:lang w:val="mk-MK"/>
        </w:rPr>
        <w:t>антитрустовското</w:t>
      </w:r>
      <w:proofErr w:type="spellEnd"/>
      <w:r>
        <w:rPr>
          <w:rFonts w:ascii="Times New Roman" w:hAnsi="Times New Roman" w:cs="Times New Roman"/>
          <w:lang w:val="mk-MK"/>
        </w:rPr>
        <w:t xml:space="preserve"> право. </w:t>
      </w:r>
    </w:p>
  </w:footnote>
  <w:footnote w:id="3">
    <w:p w:rsidR="00CA0E9E" w:rsidRPr="00CA0E9E" w:rsidRDefault="00CA0E9E" w:rsidP="00CA0E9E">
      <w:pPr>
        <w:pStyle w:val="FootnoteText"/>
        <w:jc w:val="both"/>
        <w:rPr>
          <w:rFonts w:ascii="Times New Roman" w:hAnsi="Times New Roman" w:cs="Times New Roman"/>
          <w:lang w:val="mk-MK"/>
        </w:rPr>
      </w:pPr>
      <w:r>
        <w:rPr>
          <w:rStyle w:val="FootnoteReference"/>
        </w:rPr>
        <w:footnoteRef/>
      </w:r>
      <w:r>
        <w:t xml:space="preserve"> </w:t>
      </w:r>
      <w:r>
        <w:rPr>
          <w:rFonts w:ascii="Times New Roman" w:hAnsi="Times New Roman" w:cs="Times New Roman"/>
          <w:lang w:val="mk-MK"/>
        </w:rPr>
        <w:t>Во периодот 2015-2018 година за склучување на договори за фиксирање на малопродажни цени беа казнети Стоматолошката комора на Македонија, Здружението на приватните лекари на Република Македонија, Институт за сметководители и овластени сметководители на Македонија</w:t>
      </w:r>
    </w:p>
  </w:footnote>
  <w:footnote w:id="4">
    <w:p w:rsidR="00E9773B" w:rsidRPr="00953A49" w:rsidRDefault="00E9773B" w:rsidP="00E9773B">
      <w:pPr>
        <w:pStyle w:val="FootnoteText"/>
        <w:jc w:val="both"/>
        <w:rPr>
          <w:lang w:val="mk-MK"/>
        </w:rPr>
      </w:pPr>
      <w:r>
        <w:rPr>
          <w:rStyle w:val="FootnoteReference"/>
        </w:rPr>
        <w:footnoteRef/>
      </w:r>
      <w:r>
        <w:t xml:space="preserve"> </w:t>
      </w:r>
      <w:proofErr w:type="spellStart"/>
      <w:r w:rsidRPr="00E9773B">
        <w:rPr>
          <w:rFonts w:ascii="Times New Roman" w:hAnsi="Times New Roman" w:cs="Times New Roman"/>
        </w:rPr>
        <w:t>Во</w:t>
      </w:r>
      <w:proofErr w:type="spellEnd"/>
      <w:r w:rsidRPr="00E9773B">
        <w:rPr>
          <w:rFonts w:ascii="Times New Roman" w:hAnsi="Times New Roman" w:cs="Times New Roman"/>
        </w:rPr>
        <w:t xml:space="preserve"> 1993 </w:t>
      </w:r>
      <w:proofErr w:type="spellStart"/>
      <w:r w:rsidRPr="00E9773B">
        <w:rPr>
          <w:rFonts w:ascii="Times New Roman" w:hAnsi="Times New Roman" w:cs="Times New Roman"/>
        </w:rPr>
        <w:t>година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Владата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на</w:t>
      </w:r>
      <w:proofErr w:type="spellEnd"/>
      <w:r w:rsidRPr="00E9773B">
        <w:rPr>
          <w:rFonts w:ascii="Times New Roman" w:hAnsi="Times New Roman" w:cs="Times New Roman"/>
        </w:rPr>
        <w:t xml:space="preserve"> САД </w:t>
      </w:r>
      <w:proofErr w:type="spellStart"/>
      <w:r w:rsidRPr="00E9773B">
        <w:rPr>
          <w:rFonts w:ascii="Times New Roman" w:hAnsi="Times New Roman" w:cs="Times New Roman"/>
        </w:rPr>
        <w:t>го</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донесе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Законот</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за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перформанси</w:t>
      </w:r>
      <w:proofErr w:type="spellEnd"/>
      <w:r w:rsidRPr="00E9773B">
        <w:rPr>
          <w:rFonts w:ascii="Times New Roman" w:hAnsi="Times New Roman" w:cs="Times New Roman"/>
        </w:rPr>
        <w:t xml:space="preserve"> и </w:t>
      </w:r>
      <w:proofErr w:type="spellStart"/>
      <w:r w:rsidRPr="00E9773B">
        <w:rPr>
          <w:rFonts w:ascii="Times New Roman" w:hAnsi="Times New Roman" w:cs="Times New Roman"/>
        </w:rPr>
        <w:t>резултати</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на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Владата</w:t>
      </w:r>
      <w:proofErr w:type="spellEnd"/>
      <w:r w:rsidRPr="00E9773B">
        <w:rPr>
          <w:rFonts w:ascii="Times New Roman" w:hAnsi="Times New Roman" w:cs="Times New Roman"/>
        </w:rPr>
        <w:t xml:space="preserve"> (The Government and Performance and Results Act) </w:t>
      </w:r>
      <w:proofErr w:type="spellStart"/>
      <w:r w:rsidRPr="00E9773B">
        <w:rPr>
          <w:rFonts w:ascii="Times New Roman" w:hAnsi="Times New Roman" w:cs="Times New Roman"/>
        </w:rPr>
        <w:t>чија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цел</w:t>
      </w:r>
      <w:proofErr w:type="spellEnd"/>
      <w:r w:rsidRPr="00E9773B">
        <w:rPr>
          <w:rFonts w:ascii="Times New Roman" w:hAnsi="Times New Roman" w:cs="Times New Roman"/>
        </w:rPr>
        <w:t xml:space="preserve"> е </w:t>
      </w:r>
      <w:proofErr w:type="spellStart"/>
      <w:r w:rsidRPr="00E9773B">
        <w:rPr>
          <w:rFonts w:ascii="Times New Roman" w:hAnsi="Times New Roman" w:cs="Times New Roman"/>
        </w:rPr>
        <w:t>следење</w:t>
      </w:r>
      <w:proofErr w:type="spellEnd"/>
      <w:r w:rsidRPr="00E9773B">
        <w:rPr>
          <w:rFonts w:ascii="Times New Roman" w:hAnsi="Times New Roman" w:cs="Times New Roman"/>
        </w:rPr>
        <w:t xml:space="preserve"> и </w:t>
      </w:r>
      <w:proofErr w:type="spellStart"/>
      <w:r w:rsidRPr="00E9773B">
        <w:rPr>
          <w:rFonts w:ascii="Times New Roman" w:hAnsi="Times New Roman" w:cs="Times New Roman"/>
        </w:rPr>
        <w:t>подобрување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на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перформансите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во</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работењето</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на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државните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институции</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Со</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овој</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закон</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институциите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за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заштита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на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конкуренцијата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се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задолжија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да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изготвуваат</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извештаи</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за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ефектите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од</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преземените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активности</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како</w:t>
      </w:r>
      <w:proofErr w:type="spellEnd"/>
      <w:r w:rsidRPr="00E9773B">
        <w:rPr>
          <w:rFonts w:ascii="Times New Roman" w:hAnsi="Times New Roman" w:cs="Times New Roman"/>
        </w:rPr>
        <w:t xml:space="preserve"> и </w:t>
      </w:r>
      <w:proofErr w:type="spellStart"/>
      <w:r w:rsidRPr="00E9773B">
        <w:rPr>
          <w:rFonts w:ascii="Times New Roman" w:hAnsi="Times New Roman" w:cs="Times New Roman"/>
        </w:rPr>
        <w:t>да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развиваат</w:t>
      </w:r>
      <w:proofErr w:type="spellEnd"/>
      <w:r w:rsidRPr="00E9773B">
        <w:rPr>
          <w:rFonts w:ascii="Times New Roman" w:hAnsi="Times New Roman" w:cs="Times New Roman"/>
        </w:rPr>
        <w:t xml:space="preserve"> и </w:t>
      </w:r>
      <w:proofErr w:type="spellStart"/>
      <w:r w:rsidRPr="00E9773B">
        <w:rPr>
          <w:rFonts w:ascii="Times New Roman" w:hAnsi="Times New Roman" w:cs="Times New Roman"/>
        </w:rPr>
        <w:t>имплементираат</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годишни</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планови</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за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реализација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на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поставените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програмски</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цели</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во</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согласност</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со</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расположливите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ресурси</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Во</w:t>
      </w:r>
      <w:proofErr w:type="spellEnd"/>
      <w:r w:rsidRPr="00E9773B">
        <w:rPr>
          <w:rFonts w:ascii="Times New Roman" w:hAnsi="Times New Roman" w:cs="Times New Roman"/>
        </w:rPr>
        <w:t xml:space="preserve"> 1999 </w:t>
      </w:r>
      <w:proofErr w:type="spellStart"/>
      <w:r w:rsidRPr="00E9773B">
        <w:rPr>
          <w:rFonts w:ascii="Times New Roman" w:hAnsi="Times New Roman" w:cs="Times New Roman"/>
        </w:rPr>
        <w:t>год</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Министерството</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за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финансии</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на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Англија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како</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производ</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од</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претходно</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донесените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документи</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Детален</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извештај</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за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потрошувачката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на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владата</w:t>
      </w:r>
      <w:proofErr w:type="spellEnd"/>
      <w:r w:rsidRPr="00F93021">
        <w:rPr>
          <w:rFonts w:ascii="Times New Roman" w:hAnsi="Times New Roman" w:cs="Times New Roman"/>
          <w:sz w:val="24"/>
          <w:szCs w:val="24"/>
        </w:rPr>
        <w:t xml:space="preserve"> </w:t>
      </w:r>
      <w:r w:rsidRPr="00E9773B">
        <w:rPr>
          <w:rFonts w:ascii="Times New Roman" w:hAnsi="Times New Roman" w:cs="Times New Roman"/>
        </w:rPr>
        <w:t xml:space="preserve">(Comprehensive Spending Review </w:t>
      </w:r>
      <w:proofErr w:type="spellStart"/>
      <w:r w:rsidRPr="00E9773B">
        <w:rPr>
          <w:rFonts w:ascii="Times New Roman" w:hAnsi="Times New Roman" w:cs="Times New Roman"/>
        </w:rPr>
        <w:t>во</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јули</w:t>
      </w:r>
      <w:proofErr w:type="spellEnd"/>
      <w:r w:rsidRPr="00E9773B">
        <w:rPr>
          <w:rFonts w:ascii="Times New Roman" w:hAnsi="Times New Roman" w:cs="Times New Roman"/>
        </w:rPr>
        <w:t xml:space="preserve"> 1998 </w:t>
      </w:r>
      <w:proofErr w:type="spellStart"/>
      <w:r w:rsidRPr="00E9773B">
        <w:rPr>
          <w:rFonts w:ascii="Times New Roman" w:hAnsi="Times New Roman" w:cs="Times New Roman"/>
        </w:rPr>
        <w:t>година</w:t>
      </w:r>
      <w:proofErr w:type="spellEnd"/>
      <w:r w:rsidRPr="00E9773B">
        <w:rPr>
          <w:rFonts w:ascii="Times New Roman" w:hAnsi="Times New Roman" w:cs="Times New Roman"/>
        </w:rPr>
        <w:t xml:space="preserve"> и </w:t>
      </w:r>
      <w:proofErr w:type="spellStart"/>
      <w:r w:rsidRPr="00E9773B">
        <w:rPr>
          <w:rFonts w:ascii="Times New Roman" w:hAnsi="Times New Roman" w:cs="Times New Roman"/>
        </w:rPr>
        <w:t>Белата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книга</w:t>
      </w:r>
      <w:proofErr w:type="spellEnd"/>
      <w:r w:rsidRPr="00E9773B">
        <w:rPr>
          <w:rFonts w:ascii="Times New Roman" w:hAnsi="Times New Roman" w:cs="Times New Roman"/>
        </w:rPr>
        <w:t xml:space="preserve"> -White Paper </w:t>
      </w:r>
      <w:proofErr w:type="spellStart"/>
      <w:r w:rsidRPr="00E9773B">
        <w:rPr>
          <w:rFonts w:ascii="Times New Roman" w:hAnsi="Times New Roman" w:cs="Times New Roman"/>
        </w:rPr>
        <w:t>во</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декември</w:t>
      </w:r>
      <w:proofErr w:type="spellEnd"/>
      <w:r w:rsidRPr="00E9773B">
        <w:rPr>
          <w:rFonts w:ascii="Times New Roman" w:hAnsi="Times New Roman" w:cs="Times New Roman"/>
        </w:rPr>
        <w:t xml:space="preserve">, 1998 </w:t>
      </w:r>
      <w:proofErr w:type="spellStart"/>
      <w:r w:rsidRPr="00E9773B">
        <w:rPr>
          <w:rFonts w:ascii="Times New Roman" w:hAnsi="Times New Roman" w:cs="Times New Roman"/>
        </w:rPr>
        <w:t>година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го</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објави</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документот</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за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анализа</w:t>
      </w:r>
      <w:proofErr w:type="spellEnd"/>
      <w:r w:rsidRPr="00E9773B">
        <w:rPr>
          <w:rFonts w:ascii="Times New Roman" w:hAnsi="Times New Roman" w:cs="Times New Roman"/>
        </w:rPr>
        <w:t xml:space="preserve"> и </w:t>
      </w:r>
      <w:proofErr w:type="spellStart"/>
      <w:r w:rsidRPr="00E9773B">
        <w:rPr>
          <w:rFonts w:ascii="Times New Roman" w:hAnsi="Times New Roman" w:cs="Times New Roman"/>
        </w:rPr>
        <w:t>мерење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на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аутпутот</w:t>
      </w:r>
      <w:proofErr w:type="spellEnd"/>
      <w:r w:rsidRPr="00E9773B">
        <w:rPr>
          <w:rFonts w:ascii="Times New Roman" w:hAnsi="Times New Roman" w:cs="Times New Roman"/>
        </w:rPr>
        <w:t xml:space="preserve"> и </w:t>
      </w:r>
      <w:proofErr w:type="spellStart"/>
      <w:r w:rsidRPr="00E9773B">
        <w:rPr>
          <w:rFonts w:ascii="Times New Roman" w:hAnsi="Times New Roman" w:cs="Times New Roman"/>
        </w:rPr>
        <w:t>перформансите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на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владата</w:t>
      </w:r>
      <w:proofErr w:type="spellEnd"/>
      <w:r w:rsidRPr="00E9773B">
        <w:rPr>
          <w:rFonts w:ascii="Times New Roman" w:hAnsi="Times New Roman" w:cs="Times New Roman"/>
        </w:rPr>
        <w:t xml:space="preserve"> „The Government’s Measures of Success:</w:t>
      </w:r>
      <w:r w:rsidRPr="00F93021">
        <w:rPr>
          <w:rFonts w:ascii="Times New Roman" w:hAnsi="Times New Roman" w:cs="Times New Roman"/>
          <w:sz w:val="24"/>
          <w:szCs w:val="24"/>
        </w:rPr>
        <w:t xml:space="preserve"> </w:t>
      </w:r>
      <w:r w:rsidRPr="00E9773B">
        <w:rPr>
          <w:rFonts w:ascii="Times New Roman" w:hAnsi="Times New Roman" w:cs="Times New Roman"/>
        </w:rPr>
        <w:t xml:space="preserve">Output and Performance Analyses”, </w:t>
      </w:r>
      <w:proofErr w:type="spellStart"/>
      <w:r w:rsidRPr="00E9773B">
        <w:rPr>
          <w:rFonts w:ascii="Times New Roman" w:hAnsi="Times New Roman" w:cs="Times New Roman"/>
        </w:rPr>
        <w:t>со</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кој</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се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поставија</w:t>
      </w:r>
      <w:proofErr w:type="spellEnd"/>
      <w:r w:rsidRPr="00F93021">
        <w:rPr>
          <w:rFonts w:ascii="Times New Roman" w:hAnsi="Times New Roman" w:cs="Times New Roman"/>
          <w:sz w:val="24"/>
          <w:szCs w:val="24"/>
        </w:rPr>
        <w:t xml:space="preserve"> </w:t>
      </w:r>
      <w:proofErr w:type="spellStart"/>
      <w:r w:rsidRPr="00E9773B">
        <w:rPr>
          <w:rFonts w:ascii="Times New Roman" w:hAnsi="Times New Roman" w:cs="Times New Roman"/>
        </w:rPr>
        <w:t>критериумите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за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мерење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на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успешноста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на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владата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во</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реализацијата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на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зацртаните</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цели</w:t>
      </w:r>
      <w:proofErr w:type="spellEnd"/>
      <w:r w:rsidRPr="00E9773B">
        <w:rPr>
          <w:rFonts w:ascii="Times New Roman" w:hAnsi="Times New Roman" w:cs="Times New Roman"/>
        </w:rPr>
        <w:t xml:space="preserve"> и </w:t>
      </w:r>
      <w:proofErr w:type="spellStart"/>
      <w:r w:rsidRPr="00E9773B">
        <w:rPr>
          <w:rFonts w:ascii="Times New Roman" w:hAnsi="Times New Roman" w:cs="Times New Roman"/>
        </w:rPr>
        <w:t>обезбедувањето</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на</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поквалитетни</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јавни</w:t>
      </w:r>
      <w:proofErr w:type="spellEnd"/>
      <w:r w:rsidRPr="00E9773B">
        <w:rPr>
          <w:rFonts w:ascii="Times New Roman" w:hAnsi="Times New Roman" w:cs="Times New Roman"/>
        </w:rPr>
        <w:t xml:space="preserve"> </w:t>
      </w:r>
      <w:proofErr w:type="spellStart"/>
      <w:r w:rsidRPr="00E9773B">
        <w:rPr>
          <w:rFonts w:ascii="Times New Roman" w:hAnsi="Times New Roman" w:cs="Times New Roman"/>
        </w:rPr>
        <w:t>услуги</w:t>
      </w:r>
      <w:proofErr w:type="spellEnd"/>
      <w:r>
        <w:rPr>
          <w:rFonts w:ascii="Times New Roman" w:hAnsi="Times New Roman" w:cs="Times New Roman"/>
        </w:rPr>
        <w:t>.</w:t>
      </w:r>
      <w:r w:rsidR="00953A49">
        <w:rPr>
          <w:rFonts w:ascii="Times New Roman" w:hAnsi="Times New Roman" w:cs="Times New Roman"/>
          <w:lang w:val="mk-MK"/>
        </w:rPr>
        <w:t xml:space="preserve"> </w:t>
      </w:r>
      <w:proofErr w:type="spellStart"/>
      <w:r w:rsidR="00953A49" w:rsidRPr="00953A49">
        <w:rPr>
          <w:rFonts w:ascii="Times New Roman" w:hAnsi="Times New Roman" w:cs="Times New Roman"/>
        </w:rPr>
        <w:t>Активности</w:t>
      </w:r>
      <w:proofErr w:type="spellEnd"/>
      <w:r w:rsidR="00953A49" w:rsidRPr="00953A49">
        <w:rPr>
          <w:rFonts w:ascii="Times New Roman" w:hAnsi="Times New Roman" w:cs="Times New Roman"/>
        </w:rPr>
        <w:t xml:space="preserve"> </w:t>
      </w:r>
      <w:proofErr w:type="spellStart"/>
      <w:r w:rsidR="00953A49" w:rsidRPr="00953A49">
        <w:rPr>
          <w:rFonts w:ascii="Times New Roman" w:hAnsi="Times New Roman" w:cs="Times New Roman"/>
        </w:rPr>
        <w:t>од</w:t>
      </w:r>
      <w:proofErr w:type="spellEnd"/>
      <w:r w:rsidR="00953A49" w:rsidRPr="00953A49">
        <w:rPr>
          <w:rFonts w:ascii="Times New Roman" w:hAnsi="Times New Roman" w:cs="Times New Roman"/>
        </w:rPr>
        <w:t xml:space="preserve"> </w:t>
      </w:r>
      <w:proofErr w:type="spellStart"/>
      <w:r w:rsidR="00953A49" w:rsidRPr="00953A49">
        <w:rPr>
          <w:rFonts w:ascii="Times New Roman" w:hAnsi="Times New Roman" w:cs="Times New Roman"/>
        </w:rPr>
        <w:t>овој</w:t>
      </w:r>
      <w:proofErr w:type="spellEnd"/>
      <w:r w:rsidR="00953A49" w:rsidRPr="00953A49">
        <w:rPr>
          <w:rFonts w:ascii="Times New Roman" w:hAnsi="Times New Roman" w:cs="Times New Roman"/>
        </w:rPr>
        <w:t xml:space="preserve"> </w:t>
      </w:r>
      <w:proofErr w:type="spellStart"/>
      <w:r w:rsidR="00953A49" w:rsidRPr="00953A49">
        <w:rPr>
          <w:rFonts w:ascii="Times New Roman" w:hAnsi="Times New Roman" w:cs="Times New Roman"/>
        </w:rPr>
        <w:t>вид</w:t>
      </w:r>
      <w:proofErr w:type="spellEnd"/>
      <w:r w:rsidR="00953A49" w:rsidRPr="00953A49">
        <w:rPr>
          <w:rFonts w:ascii="Times New Roman" w:hAnsi="Times New Roman" w:cs="Times New Roman"/>
        </w:rPr>
        <w:t xml:space="preserve"> </w:t>
      </w:r>
      <w:proofErr w:type="spellStart"/>
      <w:r w:rsidR="00953A49">
        <w:rPr>
          <w:rFonts w:ascii="Times New Roman" w:hAnsi="Times New Roman" w:cs="Times New Roman"/>
        </w:rPr>
        <w:t>беа</w:t>
      </w:r>
      <w:proofErr w:type="spellEnd"/>
      <w:r w:rsidR="00953A49">
        <w:rPr>
          <w:rFonts w:ascii="Times New Roman" w:hAnsi="Times New Roman" w:cs="Times New Roman"/>
        </w:rPr>
        <w:t xml:space="preserve"> </w:t>
      </w:r>
      <w:proofErr w:type="spellStart"/>
      <w:r w:rsidR="00953A49">
        <w:rPr>
          <w:rFonts w:ascii="Times New Roman" w:hAnsi="Times New Roman" w:cs="Times New Roman"/>
        </w:rPr>
        <w:t>преземени</w:t>
      </w:r>
      <w:proofErr w:type="spellEnd"/>
      <w:r w:rsidR="00953A49">
        <w:rPr>
          <w:rFonts w:ascii="Times New Roman" w:hAnsi="Times New Roman" w:cs="Times New Roman"/>
        </w:rPr>
        <w:t xml:space="preserve"> и </w:t>
      </w:r>
      <w:proofErr w:type="spellStart"/>
      <w:r w:rsidR="00953A49">
        <w:rPr>
          <w:rFonts w:ascii="Times New Roman" w:hAnsi="Times New Roman" w:cs="Times New Roman"/>
        </w:rPr>
        <w:t>во</w:t>
      </w:r>
      <w:proofErr w:type="spellEnd"/>
      <w:r w:rsidR="00953A49">
        <w:rPr>
          <w:rFonts w:ascii="Times New Roman" w:hAnsi="Times New Roman" w:cs="Times New Roman"/>
        </w:rPr>
        <w:t xml:space="preserve"> </w:t>
      </w:r>
      <w:proofErr w:type="spellStart"/>
      <w:r w:rsidR="00953A49">
        <w:rPr>
          <w:rFonts w:ascii="Times New Roman" w:hAnsi="Times New Roman" w:cs="Times New Roman"/>
        </w:rPr>
        <w:t>други</w:t>
      </w:r>
      <w:proofErr w:type="spellEnd"/>
      <w:r w:rsidR="00953A49">
        <w:rPr>
          <w:rFonts w:ascii="Times New Roman" w:hAnsi="Times New Roman" w:cs="Times New Roman"/>
        </w:rPr>
        <w:t xml:space="preserve"> </w:t>
      </w:r>
      <w:proofErr w:type="spellStart"/>
      <w:r w:rsidR="00953A49">
        <w:rPr>
          <w:rFonts w:ascii="Times New Roman" w:hAnsi="Times New Roman" w:cs="Times New Roman"/>
        </w:rPr>
        <w:t>земји</w:t>
      </w:r>
      <w:proofErr w:type="spellEnd"/>
      <w:r w:rsidR="00953A49">
        <w:rPr>
          <w:rFonts w:ascii="Times New Roman" w:hAnsi="Times New Roman" w:cs="Times New Roman"/>
          <w:lang w:val="mk-MK"/>
        </w:rPr>
        <w:t>:</w:t>
      </w:r>
      <w:r w:rsidR="00953A49">
        <w:rPr>
          <w:rFonts w:ascii="Times New Roman" w:hAnsi="Times New Roman" w:cs="Times New Roman"/>
        </w:rPr>
        <w:t xml:space="preserve"> </w:t>
      </w:r>
      <w:proofErr w:type="spellStart"/>
      <w:r w:rsidR="00953A49" w:rsidRPr="00953A49">
        <w:rPr>
          <w:rFonts w:ascii="Times New Roman" w:hAnsi="Times New Roman" w:cs="Times New Roman"/>
        </w:rPr>
        <w:t>Кана</w:t>
      </w:r>
      <w:r w:rsidR="00953A49">
        <w:rPr>
          <w:rFonts w:ascii="Times New Roman" w:hAnsi="Times New Roman" w:cs="Times New Roman"/>
        </w:rPr>
        <w:t>да</w:t>
      </w:r>
      <w:proofErr w:type="spellEnd"/>
      <w:r w:rsidR="00953A49">
        <w:rPr>
          <w:rFonts w:ascii="Times New Roman" w:hAnsi="Times New Roman" w:cs="Times New Roman"/>
        </w:rPr>
        <w:t xml:space="preserve">, </w:t>
      </w:r>
      <w:proofErr w:type="spellStart"/>
      <w:r w:rsidR="00953A49">
        <w:rPr>
          <w:rFonts w:ascii="Times New Roman" w:hAnsi="Times New Roman" w:cs="Times New Roman"/>
        </w:rPr>
        <w:t>Холандија</w:t>
      </w:r>
      <w:proofErr w:type="spellEnd"/>
      <w:r w:rsidR="00953A49">
        <w:rPr>
          <w:rFonts w:ascii="Times New Roman" w:hAnsi="Times New Roman" w:cs="Times New Roman"/>
        </w:rPr>
        <w:t xml:space="preserve">, </w:t>
      </w:r>
      <w:proofErr w:type="spellStart"/>
      <w:r w:rsidR="00953A49">
        <w:rPr>
          <w:rFonts w:ascii="Times New Roman" w:hAnsi="Times New Roman" w:cs="Times New Roman"/>
        </w:rPr>
        <w:t>Австралија</w:t>
      </w:r>
      <w:proofErr w:type="spellEnd"/>
      <w:r w:rsidR="00953A49">
        <w:rPr>
          <w:rFonts w:ascii="Times New Roman" w:hAnsi="Times New Roman" w:cs="Times New Roman"/>
        </w:rPr>
        <w:t xml:space="preserve"> и </w:t>
      </w:r>
      <w:proofErr w:type="spellStart"/>
      <w:r w:rsidR="00953A49">
        <w:rPr>
          <w:rFonts w:ascii="Times New Roman" w:hAnsi="Times New Roman" w:cs="Times New Roman"/>
        </w:rPr>
        <w:t>др</w:t>
      </w:r>
      <w:proofErr w:type="spellEnd"/>
      <w:r w:rsidR="00953A49">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4752B"/>
    <w:multiLevelType w:val="hybridMultilevel"/>
    <w:tmpl w:val="845061D4"/>
    <w:lvl w:ilvl="0" w:tplc="0DB2CB0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40028"/>
    <w:multiLevelType w:val="hybridMultilevel"/>
    <w:tmpl w:val="97DEC678"/>
    <w:lvl w:ilvl="0" w:tplc="14C2C824">
      <w:start w:val="1"/>
      <w:numFmt w:val="lowerRoman"/>
      <w:lvlText w:val="(%1)"/>
      <w:lvlJc w:val="left"/>
      <w:pPr>
        <w:ind w:left="1080" w:hanging="720"/>
      </w:pPr>
      <w:rPr>
        <w:rFonts w:ascii="Georgia" w:hAnsi="Georg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0C"/>
    <w:rsid w:val="0000068C"/>
    <w:rsid w:val="00000A3D"/>
    <w:rsid w:val="00002145"/>
    <w:rsid w:val="00012020"/>
    <w:rsid w:val="000314D2"/>
    <w:rsid w:val="00072F38"/>
    <w:rsid w:val="00073499"/>
    <w:rsid w:val="00075A64"/>
    <w:rsid w:val="0007672F"/>
    <w:rsid w:val="00097FD3"/>
    <w:rsid w:val="000A1DD9"/>
    <w:rsid w:val="000B2D0C"/>
    <w:rsid w:val="000F6549"/>
    <w:rsid w:val="001201A7"/>
    <w:rsid w:val="00122B50"/>
    <w:rsid w:val="0013089F"/>
    <w:rsid w:val="001308AF"/>
    <w:rsid w:val="00136EA9"/>
    <w:rsid w:val="00157248"/>
    <w:rsid w:val="00187AC6"/>
    <w:rsid w:val="00195662"/>
    <w:rsid w:val="001966D9"/>
    <w:rsid w:val="001B0461"/>
    <w:rsid w:val="001B2367"/>
    <w:rsid w:val="001C2CDA"/>
    <w:rsid w:val="001C39E4"/>
    <w:rsid w:val="001D140E"/>
    <w:rsid w:val="001E43F6"/>
    <w:rsid w:val="001F0ACF"/>
    <w:rsid w:val="002130B6"/>
    <w:rsid w:val="00240F1A"/>
    <w:rsid w:val="00253C0F"/>
    <w:rsid w:val="002747DD"/>
    <w:rsid w:val="00280CF0"/>
    <w:rsid w:val="002831A7"/>
    <w:rsid w:val="0029273C"/>
    <w:rsid w:val="002977BF"/>
    <w:rsid w:val="002A02D7"/>
    <w:rsid w:val="002C14D3"/>
    <w:rsid w:val="002D26FF"/>
    <w:rsid w:val="002D698E"/>
    <w:rsid w:val="002E1DB9"/>
    <w:rsid w:val="002E3A77"/>
    <w:rsid w:val="002E4890"/>
    <w:rsid w:val="002E6B7E"/>
    <w:rsid w:val="002E6F69"/>
    <w:rsid w:val="00306FBB"/>
    <w:rsid w:val="0032188E"/>
    <w:rsid w:val="00321ECD"/>
    <w:rsid w:val="003356AC"/>
    <w:rsid w:val="00337656"/>
    <w:rsid w:val="00344EDA"/>
    <w:rsid w:val="003468E8"/>
    <w:rsid w:val="00347044"/>
    <w:rsid w:val="003570FB"/>
    <w:rsid w:val="003970C3"/>
    <w:rsid w:val="0039779A"/>
    <w:rsid w:val="003B5D0E"/>
    <w:rsid w:val="003F25F1"/>
    <w:rsid w:val="004018AC"/>
    <w:rsid w:val="00405889"/>
    <w:rsid w:val="00422C6F"/>
    <w:rsid w:val="00443D24"/>
    <w:rsid w:val="0044597E"/>
    <w:rsid w:val="00450C24"/>
    <w:rsid w:val="004631F6"/>
    <w:rsid w:val="00466E05"/>
    <w:rsid w:val="0047417E"/>
    <w:rsid w:val="004748E5"/>
    <w:rsid w:val="0048524E"/>
    <w:rsid w:val="004864A9"/>
    <w:rsid w:val="00487973"/>
    <w:rsid w:val="004928FC"/>
    <w:rsid w:val="004A0E7F"/>
    <w:rsid w:val="004C07C8"/>
    <w:rsid w:val="004D01BC"/>
    <w:rsid w:val="004F3487"/>
    <w:rsid w:val="00503DE2"/>
    <w:rsid w:val="00510973"/>
    <w:rsid w:val="00515F12"/>
    <w:rsid w:val="005362C0"/>
    <w:rsid w:val="00537E14"/>
    <w:rsid w:val="0054403D"/>
    <w:rsid w:val="00550570"/>
    <w:rsid w:val="0055385F"/>
    <w:rsid w:val="00571679"/>
    <w:rsid w:val="005723D0"/>
    <w:rsid w:val="00577254"/>
    <w:rsid w:val="00582763"/>
    <w:rsid w:val="005835D0"/>
    <w:rsid w:val="00586A57"/>
    <w:rsid w:val="005937F0"/>
    <w:rsid w:val="00593C14"/>
    <w:rsid w:val="005A1A6B"/>
    <w:rsid w:val="005A24F1"/>
    <w:rsid w:val="005B2679"/>
    <w:rsid w:val="005C6E10"/>
    <w:rsid w:val="005D47F4"/>
    <w:rsid w:val="005D7038"/>
    <w:rsid w:val="00604219"/>
    <w:rsid w:val="0062101B"/>
    <w:rsid w:val="006238AF"/>
    <w:rsid w:val="006371D2"/>
    <w:rsid w:val="00666692"/>
    <w:rsid w:val="00683C0A"/>
    <w:rsid w:val="006B2E97"/>
    <w:rsid w:val="006E727C"/>
    <w:rsid w:val="006F7FD4"/>
    <w:rsid w:val="007027AD"/>
    <w:rsid w:val="00711011"/>
    <w:rsid w:val="00712C98"/>
    <w:rsid w:val="007272B1"/>
    <w:rsid w:val="0074229D"/>
    <w:rsid w:val="00757434"/>
    <w:rsid w:val="00774ED3"/>
    <w:rsid w:val="00786AD3"/>
    <w:rsid w:val="007A06EE"/>
    <w:rsid w:val="007C6C00"/>
    <w:rsid w:val="007C764A"/>
    <w:rsid w:val="007E152C"/>
    <w:rsid w:val="007F0FB2"/>
    <w:rsid w:val="00815A27"/>
    <w:rsid w:val="00817F37"/>
    <w:rsid w:val="0082148B"/>
    <w:rsid w:val="00833F23"/>
    <w:rsid w:val="00834521"/>
    <w:rsid w:val="0083560E"/>
    <w:rsid w:val="0083595A"/>
    <w:rsid w:val="008416CE"/>
    <w:rsid w:val="00845C35"/>
    <w:rsid w:val="008515D3"/>
    <w:rsid w:val="00862F1C"/>
    <w:rsid w:val="00866D2E"/>
    <w:rsid w:val="00872DC9"/>
    <w:rsid w:val="00876C62"/>
    <w:rsid w:val="008840AE"/>
    <w:rsid w:val="008A1E3C"/>
    <w:rsid w:val="008E49BA"/>
    <w:rsid w:val="008F28B3"/>
    <w:rsid w:val="008F3B62"/>
    <w:rsid w:val="008F4163"/>
    <w:rsid w:val="0092447D"/>
    <w:rsid w:val="00937340"/>
    <w:rsid w:val="00943CDB"/>
    <w:rsid w:val="00945F49"/>
    <w:rsid w:val="00951F43"/>
    <w:rsid w:val="00953A49"/>
    <w:rsid w:val="00963A51"/>
    <w:rsid w:val="00964DA1"/>
    <w:rsid w:val="0097387D"/>
    <w:rsid w:val="00973E04"/>
    <w:rsid w:val="0097536F"/>
    <w:rsid w:val="00975747"/>
    <w:rsid w:val="00976B0C"/>
    <w:rsid w:val="009A1728"/>
    <w:rsid w:val="009B08B3"/>
    <w:rsid w:val="009B50FC"/>
    <w:rsid w:val="009B77C9"/>
    <w:rsid w:val="009E0775"/>
    <w:rsid w:val="009E770B"/>
    <w:rsid w:val="00A06610"/>
    <w:rsid w:val="00A10DAF"/>
    <w:rsid w:val="00A34D4E"/>
    <w:rsid w:val="00A428C4"/>
    <w:rsid w:val="00A47D52"/>
    <w:rsid w:val="00A8454A"/>
    <w:rsid w:val="00A8697F"/>
    <w:rsid w:val="00A9188D"/>
    <w:rsid w:val="00A9452F"/>
    <w:rsid w:val="00AA23AE"/>
    <w:rsid w:val="00AC5E65"/>
    <w:rsid w:val="00AD753E"/>
    <w:rsid w:val="00AF0AF7"/>
    <w:rsid w:val="00B01986"/>
    <w:rsid w:val="00B071A0"/>
    <w:rsid w:val="00B23968"/>
    <w:rsid w:val="00B3070F"/>
    <w:rsid w:val="00B33DAB"/>
    <w:rsid w:val="00B654F2"/>
    <w:rsid w:val="00B66B6A"/>
    <w:rsid w:val="00B758CB"/>
    <w:rsid w:val="00B83803"/>
    <w:rsid w:val="00B902A8"/>
    <w:rsid w:val="00BB2E54"/>
    <w:rsid w:val="00BE753C"/>
    <w:rsid w:val="00BF21AA"/>
    <w:rsid w:val="00C00B56"/>
    <w:rsid w:val="00C06915"/>
    <w:rsid w:val="00C1700B"/>
    <w:rsid w:val="00C411B3"/>
    <w:rsid w:val="00C53144"/>
    <w:rsid w:val="00C627E4"/>
    <w:rsid w:val="00C71645"/>
    <w:rsid w:val="00C76676"/>
    <w:rsid w:val="00C90434"/>
    <w:rsid w:val="00C917F0"/>
    <w:rsid w:val="00C93794"/>
    <w:rsid w:val="00CA0B33"/>
    <w:rsid w:val="00CA0E9E"/>
    <w:rsid w:val="00CD0B04"/>
    <w:rsid w:val="00CD7194"/>
    <w:rsid w:val="00CF0151"/>
    <w:rsid w:val="00CF5F38"/>
    <w:rsid w:val="00D06E80"/>
    <w:rsid w:val="00D07739"/>
    <w:rsid w:val="00D16E30"/>
    <w:rsid w:val="00D315B9"/>
    <w:rsid w:val="00D353CC"/>
    <w:rsid w:val="00D56611"/>
    <w:rsid w:val="00D67BC6"/>
    <w:rsid w:val="00D72E3B"/>
    <w:rsid w:val="00D869C4"/>
    <w:rsid w:val="00DB6064"/>
    <w:rsid w:val="00DC48BC"/>
    <w:rsid w:val="00DC5E20"/>
    <w:rsid w:val="00DD1B66"/>
    <w:rsid w:val="00DE5A4B"/>
    <w:rsid w:val="00DF5767"/>
    <w:rsid w:val="00E06EE7"/>
    <w:rsid w:val="00E24F6A"/>
    <w:rsid w:val="00E37CCA"/>
    <w:rsid w:val="00E42C97"/>
    <w:rsid w:val="00E4644C"/>
    <w:rsid w:val="00E503FC"/>
    <w:rsid w:val="00E5107B"/>
    <w:rsid w:val="00E65F38"/>
    <w:rsid w:val="00E732FF"/>
    <w:rsid w:val="00E76823"/>
    <w:rsid w:val="00E8639B"/>
    <w:rsid w:val="00E9773B"/>
    <w:rsid w:val="00EA0602"/>
    <w:rsid w:val="00EA1134"/>
    <w:rsid w:val="00EA4DCA"/>
    <w:rsid w:val="00EC6CE0"/>
    <w:rsid w:val="00EC76A2"/>
    <w:rsid w:val="00EF16B6"/>
    <w:rsid w:val="00F0189B"/>
    <w:rsid w:val="00F072AA"/>
    <w:rsid w:val="00F25703"/>
    <w:rsid w:val="00F50B6C"/>
    <w:rsid w:val="00F51059"/>
    <w:rsid w:val="00F51D1C"/>
    <w:rsid w:val="00F62C5E"/>
    <w:rsid w:val="00F62CBF"/>
    <w:rsid w:val="00F8016B"/>
    <w:rsid w:val="00FA0824"/>
    <w:rsid w:val="00FA511A"/>
    <w:rsid w:val="00FA5998"/>
    <w:rsid w:val="00FB2705"/>
    <w:rsid w:val="00FC1B7A"/>
    <w:rsid w:val="00FF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E7AC6-2B51-4E93-921C-E2A054B8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47"/>
    <w:pPr>
      <w:ind w:left="720"/>
      <w:contextualSpacing/>
    </w:pPr>
  </w:style>
  <w:style w:type="paragraph" w:styleId="FootnoteText">
    <w:name w:val="footnote text"/>
    <w:basedOn w:val="Normal"/>
    <w:link w:val="FootnoteTextChar"/>
    <w:semiHidden/>
    <w:unhideWhenUsed/>
    <w:rsid w:val="00CD0B04"/>
    <w:pPr>
      <w:spacing w:after="0" w:line="240" w:lineRule="auto"/>
    </w:pPr>
    <w:rPr>
      <w:sz w:val="20"/>
      <w:szCs w:val="20"/>
    </w:rPr>
  </w:style>
  <w:style w:type="character" w:customStyle="1" w:styleId="FootnoteTextChar">
    <w:name w:val="Footnote Text Char"/>
    <w:basedOn w:val="DefaultParagraphFont"/>
    <w:link w:val="FootnoteText"/>
    <w:semiHidden/>
    <w:rsid w:val="00CD0B04"/>
    <w:rPr>
      <w:sz w:val="20"/>
      <w:szCs w:val="20"/>
    </w:rPr>
  </w:style>
  <w:style w:type="character" w:styleId="FootnoteReference">
    <w:name w:val="footnote reference"/>
    <w:basedOn w:val="DefaultParagraphFont"/>
    <w:semiHidden/>
    <w:unhideWhenUsed/>
    <w:rsid w:val="00CD0B04"/>
    <w:rPr>
      <w:vertAlign w:val="superscript"/>
    </w:rPr>
  </w:style>
  <w:style w:type="character" w:styleId="Hyperlink">
    <w:name w:val="Hyperlink"/>
    <w:basedOn w:val="DefaultParagraphFont"/>
    <w:rsid w:val="00AF0AF7"/>
    <w:rPr>
      <w:color w:val="0000FF"/>
      <w:u w:val="single"/>
    </w:rPr>
  </w:style>
  <w:style w:type="table" w:styleId="TableGrid">
    <w:name w:val="Table Grid"/>
    <w:basedOn w:val="TableNormal"/>
    <w:rsid w:val="000A1D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0688">
      <w:bodyDiv w:val="1"/>
      <w:marLeft w:val="0"/>
      <w:marRight w:val="0"/>
      <w:marTop w:val="0"/>
      <w:marBottom w:val="0"/>
      <w:divBdr>
        <w:top w:val="none" w:sz="0" w:space="0" w:color="auto"/>
        <w:left w:val="none" w:sz="0" w:space="0" w:color="auto"/>
        <w:bottom w:val="none" w:sz="0" w:space="0" w:color="auto"/>
        <w:right w:val="none" w:sz="0" w:space="0" w:color="auto"/>
      </w:divBdr>
    </w:div>
    <w:div w:id="405302790">
      <w:bodyDiv w:val="1"/>
      <w:marLeft w:val="0"/>
      <w:marRight w:val="0"/>
      <w:marTop w:val="0"/>
      <w:marBottom w:val="0"/>
      <w:divBdr>
        <w:top w:val="none" w:sz="0" w:space="0" w:color="auto"/>
        <w:left w:val="none" w:sz="0" w:space="0" w:color="auto"/>
        <w:bottom w:val="none" w:sz="0" w:space="0" w:color="auto"/>
        <w:right w:val="none" w:sz="0" w:space="0" w:color="auto"/>
      </w:divBdr>
    </w:div>
    <w:div w:id="794442470">
      <w:bodyDiv w:val="1"/>
      <w:marLeft w:val="0"/>
      <w:marRight w:val="0"/>
      <w:marTop w:val="0"/>
      <w:marBottom w:val="0"/>
      <w:divBdr>
        <w:top w:val="none" w:sz="0" w:space="0" w:color="auto"/>
        <w:left w:val="none" w:sz="0" w:space="0" w:color="auto"/>
        <w:bottom w:val="none" w:sz="0" w:space="0" w:color="auto"/>
        <w:right w:val="none" w:sz="0" w:space="0" w:color="auto"/>
      </w:divBdr>
    </w:div>
    <w:div w:id="871382428">
      <w:bodyDiv w:val="1"/>
      <w:marLeft w:val="0"/>
      <w:marRight w:val="0"/>
      <w:marTop w:val="0"/>
      <w:marBottom w:val="0"/>
      <w:divBdr>
        <w:top w:val="none" w:sz="0" w:space="0" w:color="auto"/>
        <w:left w:val="none" w:sz="0" w:space="0" w:color="auto"/>
        <w:bottom w:val="none" w:sz="0" w:space="0" w:color="auto"/>
        <w:right w:val="none" w:sz="0" w:space="0" w:color="auto"/>
      </w:divBdr>
    </w:div>
    <w:div w:id="1019963114">
      <w:bodyDiv w:val="1"/>
      <w:marLeft w:val="0"/>
      <w:marRight w:val="0"/>
      <w:marTop w:val="0"/>
      <w:marBottom w:val="0"/>
      <w:divBdr>
        <w:top w:val="none" w:sz="0" w:space="0" w:color="auto"/>
        <w:left w:val="none" w:sz="0" w:space="0" w:color="auto"/>
        <w:bottom w:val="none" w:sz="0" w:space="0" w:color="auto"/>
        <w:right w:val="none" w:sz="0" w:space="0" w:color="auto"/>
      </w:divBdr>
    </w:div>
    <w:div w:id="1623684486">
      <w:bodyDiv w:val="1"/>
      <w:marLeft w:val="0"/>
      <w:marRight w:val="0"/>
      <w:marTop w:val="0"/>
      <w:marBottom w:val="0"/>
      <w:divBdr>
        <w:top w:val="none" w:sz="0" w:space="0" w:color="auto"/>
        <w:left w:val="none" w:sz="0" w:space="0" w:color="auto"/>
        <w:bottom w:val="none" w:sz="0" w:space="0" w:color="auto"/>
        <w:right w:val="none" w:sz="0" w:space="0" w:color="auto"/>
      </w:divBdr>
    </w:div>
    <w:div w:id="1624533551">
      <w:bodyDiv w:val="1"/>
      <w:marLeft w:val="0"/>
      <w:marRight w:val="0"/>
      <w:marTop w:val="0"/>
      <w:marBottom w:val="0"/>
      <w:divBdr>
        <w:top w:val="none" w:sz="0" w:space="0" w:color="auto"/>
        <w:left w:val="none" w:sz="0" w:space="0" w:color="auto"/>
        <w:bottom w:val="none" w:sz="0" w:space="0" w:color="auto"/>
        <w:right w:val="none" w:sz="0" w:space="0" w:color="auto"/>
      </w:divBdr>
    </w:div>
    <w:div w:id="19148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2139/ssrn.14926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Daniela\MANU%20zbornik\Statisticki%20podatoci%20KZ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Daniela\MANU%20zbornik\Statisticki%20podatoci%20KZ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54"/>
            <c:spPr>
              <a:solidFill>
                <a:schemeClr val="accent1"/>
              </a:solidFill>
              <a:ln w="25400">
                <a:solidFill>
                  <a:schemeClr val="lt1"/>
                </a:solidFill>
              </a:ln>
              <a:effectLst/>
              <a:sp3d contourW="25400">
                <a:contourClr>
                  <a:schemeClr val="lt1"/>
                </a:contourClr>
              </a:sp3d>
            </c:spPr>
          </c:dPt>
          <c:dPt>
            <c:idx val="1"/>
            <c:bubble3D val="0"/>
            <c:explosion val="60"/>
            <c:spPr>
              <a:solidFill>
                <a:schemeClr val="accent2"/>
              </a:solidFill>
              <a:ln w="25400">
                <a:solidFill>
                  <a:schemeClr val="lt1"/>
                </a:solidFill>
              </a:ln>
              <a:effectLst/>
              <a:sp3d contourW="25400">
                <a:contourClr>
                  <a:schemeClr val="lt1"/>
                </a:contourClr>
              </a:sp3d>
            </c:spPr>
          </c:dPt>
          <c:dPt>
            <c:idx val="2"/>
            <c:bubble3D val="0"/>
            <c:explosion val="95"/>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'struktura na predmeti'!$A$134:$A$136</c:f>
              <c:strCache>
                <c:ptCount val="3"/>
                <c:pt idx="0">
                  <c:v>Картелски договори</c:v>
                </c:pt>
                <c:pt idx="1">
                  <c:v>Злоупотреба на дом
инантна пазарна позиција</c:v>
                </c:pt>
                <c:pt idx="2">
                  <c:v>Контрола на концентрации</c:v>
                </c:pt>
              </c:strCache>
            </c:strRef>
          </c:cat>
          <c:val>
            <c:numRef>
              <c:f>'struktura na predmeti'!$C$134:$C$136</c:f>
              <c:numCache>
                <c:formatCode>0.00%</c:formatCode>
                <c:ptCount val="3"/>
                <c:pt idx="0">
                  <c:v>6.8452380952380959E-2</c:v>
                </c:pt>
                <c:pt idx="1">
                  <c:v>5.9523809523809521E-2</c:v>
                </c:pt>
                <c:pt idx="2">
                  <c:v>0.87202380952380953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'struktura na predmeti'!$A$92</c:f>
              <c:strCache>
                <c:ptCount val="1"/>
                <c:pt idx="0">
                  <c:v>Картелски договори</c:v>
                </c:pt>
              </c:strCache>
            </c:strRef>
          </c:tx>
          <c:spPr>
            <a:solidFill>
              <a:schemeClr val="accent1"/>
            </a:solidFill>
            <a:ln>
              <a:noFill/>
            </a:ln>
            <a:effectLst/>
          </c:spPr>
          <c:cat>
            <c:numRef>
              <c:f>'struktura na predmeti'!$B$91:$J$91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'struktura na predmeti'!$B$92:$J$92</c:f>
              <c:numCache>
                <c:formatCode>General</c:formatCode>
                <c:ptCount val="9"/>
                <c:pt idx="2" formatCode="#,##0">
                  <c:v>47941311</c:v>
                </c:pt>
                <c:pt idx="4" formatCode="#,##0">
                  <c:v>276416497</c:v>
                </c:pt>
                <c:pt idx="5" formatCode="#,##0">
                  <c:v>45853400</c:v>
                </c:pt>
                <c:pt idx="6" formatCode="#,##0">
                  <c:v>9754000</c:v>
                </c:pt>
                <c:pt idx="7" formatCode="#,##0">
                  <c:v>635773622</c:v>
                </c:pt>
                <c:pt idx="8" formatCode="#,##0">
                  <c:v>6204182</c:v>
                </c:pt>
              </c:numCache>
            </c:numRef>
          </c:val>
        </c:ser>
        <c:ser>
          <c:idx val="1"/>
          <c:order val="1"/>
          <c:tx>
            <c:strRef>
              <c:f>'struktura na predmeti'!$A$93</c:f>
              <c:strCache>
                <c:ptCount val="1"/>
                <c:pt idx="0">
                  <c:v>Злоупотреба на дом
инантна пазарна позиција</c:v>
                </c:pt>
              </c:strCache>
            </c:strRef>
          </c:tx>
          <c:spPr>
            <a:solidFill>
              <a:schemeClr val="accent2"/>
            </a:solidFill>
            <a:ln>
              <a:noFill/>
            </a:ln>
            <a:effectLst/>
          </c:spPr>
          <c:cat>
            <c:numRef>
              <c:f>'struktura na predmeti'!$B$91:$J$91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'struktura na predmeti'!$B$93:$J$93</c:f>
              <c:numCache>
                <c:formatCode>#,##0</c:formatCode>
                <c:ptCount val="9"/>
                <c:pt idx="0">
                  <c:v>49675722</c:v>
                </c:pt>
                <c:pt idx="1">
                  <c:v>46120500</c:v>
                </c:pt>
                <c:pt idx="2">
                  <c:v>120000</c:v>
                </c:pt>
                <c:pt idx="3">
                  <c:v>858000</c:v>
                </c:pt>
                <c:pt idx="4">
                  <c:v>1505150</c:v>
                </c:pt>
                <c:pt idx="5">
                  <c:v>730300</c:v>
                </c:pt>
                <c:pt idx="6">
                  <c:v>8364326</c:v>
                </c:pt>
                <c:pt idx="7">
                  <c:v>120000</c:v>
                </c:pt>
                <c:pt idx="8">
                  <c:v>8918302</c:v>
                </c:pt>
              </c:numCache>
            </c:numRef>
          </c:val>
        </c:ser>
        <c:ser>
          <c:idx val="2"/>
          <c:order val="2"/>
          <c:tx>
            <c:strRef>
              <c:f>'struktura na predmeti'!$A$94</c:f>
              <c:strCache>
                <c:ptCount val="1"/>
                <c:pt idx="0">
                  <c:v>Непријавени концентрации</c:v>
                </c:pt>
              </c:strCache>
            </c:strRef>
          </c:tx>
          <c:spPr>
            <a:solidFill>
              <a:schemeClr val="accent3"/>
            </a:solidFill>
            <a:ln>
              <a:noFill/>
            </a:ln>
            <a:effectLst/>
          </c:spPr>
          <c:cat>
            <c:numRef>
              <c:f>'struktura na predmeti'!$B$91:$J$91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'struktura na predmeti'!$B$94:$J$94</c:f>
              <c:numCache>
                <c:formatCode>General</c:formatCode>
                <c:ptCount val="9"/>
                <c:pt idx="2" formatCode="#,##0">
                  <c:v>257800</c:v>
                </c:pt>
                <c:pt idx="4" formatCode="#,##0">
                  <c:v>1353000</c:v>
                </c:pt>
              </c:numCache>
            </c:numRef>
          </c:val>
        </c:ser>
        <c:ser>
          <c:idx val="3"/>
          <c:order val="3"/>
          <c:tx>
            <c:strRef>
              <c:f>'struktura na predmeti'!$A$95</c:f>
              <c:strCache>
                <c:ptCount val="1"/>
                <c:pt idx="0">
                  <c:v>Недоставување на податоци</c:v>
                </c:pt>
              </c:strCache>
            </c:strRef>
          </c:tx>
          <c:spPr>
            <a:solidFill>
              <a:schemeClr val="accent4"/>
            </a:solidFill>
            <a:ln>
              <a:noFill/>
            </a:ln>
            <a:effectLst/>
          </c:spPr>
          <c:cat>
            <c:numRef>
              <c:f>'struktura na predmeti'!$B$91:$J$91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'struktura na predmeti'!$B$95:$J$95</c:f>
              <c:numCache>
                <c:formatCode>General</c:formatCode>
                <c:ptCount val="9"/>
              </c:numCache>
            </c:numRef>
          </c:val>
        </c:ser>
        <c:dLbls>
          <c:showLegendKey val="0"/>
          <c:showVal val="0"/>
          <c:showCatName val="0"/>
          <c:showSerName val="0"/>
          <c:showPercent val="0"/>
          <c:showBubbleSize val="0"/>
        </c:dLbls>
        <c:axId val="1100895552"/>
        <c:axId val="1100899360"/>
      </c:areaChart>
      <c:catAx>
        <c:axId val="11008955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899360"/>
        <c:crosses val="autoZero"/>
        <c:auto val="1"/>
        <c:lblAlgn val="ctr"/>
        <c:lblOffset val="100"/>
        <c:noMultiLvlLbl val="0"/>
      </c:catAx>
      <c:valAx>
        <c:axId val="110089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89555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ED2A5-6AFC-48C2-AA8E-42CFF55C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5821</Words>
  <Characters>33180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Mamucevska</dc:creator>
  <cp:keywords/>
  <dc:description/>
  <cp:lastModifiedBy>Daniela Mamucevska</cp:lastModifiedBy>
  <cp:revision>6</cp:revision>
  <dcterms:created xsi:type="dcterms:W3CDTF">2019-09-16T08:50:00Z</dcterms:created>
  <dcterms:modified xsi:type="dcterms:W3CDTF">2019-09-16T08:53:00Z</dcterms:modified>
</cp:coreProperties>
</file>