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2B0" w:rsidRDefault="000F02B0" w:rsidP="008E5660">
      <w:pPr>
        <w:autoSpaceDE w:val="0"/>
        <w:autoSpaceDN w:val="0"/>
        <w:adjustRightInd w:val="0"/>
        <w:spacing w:after="0"/>
        <w:rPr>
          <w:rFonts w:ascii="Times New Roman" w:hAnsi="Times New Roman"/>
          <w:b/>
          <w:sz w:val="24"/>
        </w:rPr>
      </w:pPr>
      <w:bookmarkStart w:id="0" w:name="_GoBack"/>
      <w:bookmarkEnd w:id="0"/>
    </w:p>
    <w:p w:rsidR="00FE48A6" w:rsidRPr="000F02B0" w:rsidRDefault="00FE48A6" w:rsidP="008E5660">
      <w:pPr>
        <w:autoSpaceDE w:val="0"/>
        <w:autoSpaceDN w:val="0"/>
        <w:adjustRightInd w:val="0"/>
        <w:spacing w:after="0"/>
        <w:ind w:left="900"/>
        <w:jc w:val="center"/>
        <w:rPr>
          <w:rFonts w:ascii="Times New Roman" w:hAnsi="Times New Roman"/>
          <w:b/>
          <w:sz w:val="28"/>
          <w:szCs w:val="28"/>
        </w:rPr>
      </w:pPr>
      <w:r w:rsidRPr="000F02B0">
        <w:rPr>
          <w:rFonts w:ascii="Times New Roman" w:hAnsi="Times New Roman"/>
          <w:b/>
          <w:sz w:val="28"/>
          <w:szCs w:val="28"/>
        </w:rPr>
        <w:t>COMPARISON OF THE OLD AND NEW POLICY ON SUPPORTING INVESTMENT IN THE REPUBLIC OF NORTH MACEDONIA</w:t>
      </w:r>
    </w:p>
    <w:p w:rsidR="00FE48A6" w:rsidRPr="000F02B0" w:rsidRDefault="00FE48A6" w:rsidP="008E5660">
      <w:pPr>
        <w:autoSpaceDE w:val="0"/>
        <w:autoSpaceDN w:val="0"/>
        <w:adjustRightInd w:val="0"/>
        <w:spacing w:after="0"/>
        <w:ind w:left="900"/>
        <w:rPr>
          <w:rFonts w:ascii="Times New Roman" w:hAnsi="Times New Roman"/>
          <w:b/>
          <w:sz w:val="28"/>
          <w:szCs w:val="28"/>
        </w:rPr>
      </w:pPr>
    </w:p>
    <w:p w:rsidR="00FE48A6" w:rsidRDefault="000F02B0" w:rsidP="008E5660">
      <w:pPr>
        <w:autoSpaceDE w:val="0"/>
        <w:autoSpaceDN w:val="0"/>
        <w:adjustRightInd w:val="0"/>
        <w:spacing w:after="0"/>
        <w:ind w:left="900"/>
        <w:jc w:val="center"/>
        <w:rPr>
          <w:rFonts w:ascii="Times New Roman" w:hAnsi="Times New Roman"/>
          <w:sz w:val="24"/>
        </w:rPr>
      </w:pPr>
      <w:r>
        <w:rPr>
          <w:rFonts w:ascii="Times New Roman" w:hAnsi="Times New Roman"/>
          <w:b/>
          <w:sz w:val="24"/>
        </w:rPr>
        <w:t>Irena Kikerkova, PhD</w:t>
      </w:r>
      <w:r w:rsidR="00FE48A6">
        <w:rPr>
          <w:rFonts w:ascii="Times New Roman" w:hAnsi="Times New Roman"/>
          <w:b/>
          <w:sz w:val="24"/>
        </w:rPr>
        <w:t xml:space="preserve">, </w:t>
      </w:r>
      <w:r w:rsidR="00FE48A6">
        <w:rPr>
          <w:rFonts w:ascii="Times New Roman" w:hAnsi="Times New Roman"/>
          <w:sz w:val="24"/>
        </w:rPr>
        <w:t>full-time professor</w:t>
      </w:r>
      <w:r w:rsidR="00FE48A6">
        <w:rPr>
          <w:rStyle w:val="FootnoteReference"/>
          <w:rFonts w:ascii="Times New Roman" w:hAnsi="Times New Roman"/>
          <w:sz w:val="24"/>
        </w:rPr>
        <w:footnoteReference w:id="1"/>
      </w:r>
    </w:p>
    <w:p w:rsidR="00FE48A6" w:rsidRDefault="000F02B0" w:rsidP="008E5660">
      <w:pPr>
        <w:autoSpaceDE w:val="0"/>
        <w:autoSpaceDN w:val="0"/>
        <w:adjustRightInd w:val="0"/>
        <w:spacing w:after="0"/>
        <w:ind w:left="900"/>
        <w:jc w:val="center"/>
        <w:rPr>
          <w:rFonts w:ascii="Times New Roman" w:hAnsi="Times New Roman"/>
          <w:sz w:val="24"/>
        </w:rPr>
      </w:pPr>
      <w:r>
        <w:rPr>
          <w:rFonts w:ascii="Times New Roman" w:hAnsi="Times New Roman"/>
          <w:b/>
          <w:sz w:val="24"/>
        </w:rPr>
        <w:t>Elena Naumovska, PhD</w:t>
      </w:r>
      <w:r w:rsidR="00FE48A6" w:rsidRPr="005072FD">
        <w:rPr>
          <w:rFonts w:ascii="Times New Roman" w:hAnsi="Times New Roman"/>
          <w:b/>
          <w:sz w:val="24"/>
        </w:rPr>
        <w:t>,</w:t>
      </w:r>
      <w:r w:rsidR="00FE48A6">
        <w:rPr>
          <w:rFonts w:ascii="Times New Roman" w:hAnsi="Times New Roman"/>
          <w:sz w:val="24"/>
        </w:rPr>
        <w:t xml:space="preserve"> associate professor</w:t>
      </w:r>
      <w:r w:rsidR="00FE48A6">
        <w:rPr>
          <w:rStyle w:val="FootnoteReference"/>
          <w:rFonts w:ascii="Times New Roman" w:hAnsi="Times New Roman"/>
          <w:sz w:val="24"/>
        </w:rPr>
        <w:footnoteReference w:id="2"/>
      </w:r>
    </w:p>
    <w:p w:rsidR="00FE48A6" w:rsidRDefault="00FE48A6" w:rsidP="008E5660">
      <w:pPr>
        <w:autoSpaceDE w:val="0"/>
        <w:autoSpaceDN w:val="0"/>
        <w:adjustRightInd w:val="0"/>
        <w:spacing w:after="0"/>
        <w:ind w:left="900"/>
        <w:jc w:val="center"/>
        <w:rPr>
          <w:rFonts w:ascii="Times New Roman" w:hAnsi="Times New Roman"/>
          <w:sz w:val="24"/>
        </w:rPr>
      </w:pPr>
      <w:r w:rsidRPr="005072FD">
        <w:rPr>
          <w:rFonts w:ascii="Times New Roman" w:hAnsi="Times New Roman"/>
          <w:b/>
          <w:sz w:val="24"/>
        </w:rPr>
        <w:t>Ka</w:t>
      </w:r>
      <w:r w:rsidR="000F02B0">
        <w:rPr>
          <w:rFonts w:ascii="Times New Roman" w:hAnsi="Times New Roman"/>
          <w:b/>
          <w:sz w:val="24"/>
        </w:rPr>
        <w:t>terina Toshevska-Trpchevska, PhD</w:t>
      </w:r>
      <w:r w:rsidRPr="005072FD">
        <w:rPr>
          <w:rFonts w:ascii="Times New Roman" w:hAnsi="Times New Roman"/>
          <w:b/>
          <w:sz w:val="24"/>
        </w:rPr>
        <w:t>,</w:t>
      </w:r>
      <w:r>
        <w:rPr>
          <w:rFonts w:ascii="Times New Roman" w:hAnsi="Times New Roman"/>
          <w:sz w:val="24"/>
        </w:rPr>
        <w:t xml:space="preserve"> associate professor</w:t>
      </w:r>
      <w:r>
        <w:rPr>
          <w:rStyle w:val="FootnoteReference"/>
          <w:rFonts w:ascii="Times New Roman" w:hAnsi="Times New Roman"/>
          <w:sz w:val="24"/>
        </w:rPr>
        <w:footnoteReference w:id="3"/>
      </w:r>
    </w:p>
    <w:p w:rsidR="00FE48A6" w:rsidRDefault="00FE48A6" w:rsidP="008E5660">
      <w:pPr>
        <w:autoSpaceDE w:val="0"/>
        <w:autoSpaceDN w:val="0"/>
        <w:adjustRightInd w:val="0"/>
        <w:spacing w:after="0"/>
        <w:ind w:left="900"/>
        <w:jc w:val="center"/>
        <w:rPr>
          <w:rFonts w:ascii="Times New Roman" w:hAnsi="Times New Roman"/>
          <w:sz w:val="24"/>
        </w:rPr>
      </w:pPr>
      <w:r>
        <w:rPr>
          <w:rFonts w:ascii="Times New Roman" w:hAnsi="Times New Roman"/>
          <w:b/>
          <w:sz w:val="24"/>
        </w:rPr>
        <w:t>Elena Makrevska Disos</w:t>
      </w:r>
      <w:r w:rsidRPr="005072FD">
        <w:rPr>
          <w:rFonts w:ascii="Times New Roman" w:hAnsi="Times New Roman"/>
          <w:b/>
          <w:sz w:val="24"/>
        </w:rPr>
        <w:t>k</w:t>
      </w:r>
      <w:r>
        <w:rPr>
          <w:rFonts w:ascii="Times New Roman" w:hAnsi="Times New Roman"/>
          <w:b/>
          <w:sz w:val="24"/>
        </w:rPr>
        <w:t>a</w:t>
      </w:r>
      <w:r w:rsidR="000F02B0">
        <w:rPr>
          <w:rFonts w:ascii="Times New Roman" w:hAnsi="Times New Roman"/>
          <w:b/>
          <w:sz w:val="24"/>
        </w:rPr>
        <w:t>, Ph D</w:t>
      </w:r>
      <w:r w:rsidRPr="005072FD">
        <w:rPr>
          <w:rFonts w:ascii="Times New Roman" w:hAnsi="Times New Roman"/>
          <w:b/>
          <w:sz w:val="24"/>
        </w:rPr>
        <w:t>,</w:t>
      </w:r>
      <w:r>
        <w:rPr>
          <w:rFonts w:ascii="Times New Roman" w:hAnsi="Times New Roman"/>
          <w:sz w:val="24"/>
        </w:rPr>
        <w:t xml:space="preserve"> assistant professor</w:t>
      </w:r>
      <w:r>
        <w:rPr>
          <w:rStyle w:val="FootnoteReference"/>
          <w:rFonts w:ascii="Times New Roman" w:hAnsi="Times New Roman"/>
          <w:sz w:val="24"/>
        </w:rPr>
        <w:footnoteReference w:id="4"/>
      </w:r>
    </w:p>
    <w:p w:rsidR="00FE48A6" w:rsidRDefault="00FE48A6" w:rsidP="008E5660">
      <w:pPr>
        <w:autoSpaceDE w:val="0"/>
        <w:autoSpaceDN w:val="0"/>
        <w:adjustRightInd w:val="0"/>
        <w:spacing w:after="0"/>
        <w:ind w:left="900"/>
        <w:jc w:val="center"/>
        <w:rPr>
          <w:rFonts w:ascii="Times New Roman" w:hAnsi="Times New Roman"/>
          <w:sz w:val="24"/>
        </w:rPr>
      </w:pPr>
    </w:p>
    <w:p w:rsidR="00FE48A6" w:rsidRDefault="00FE48A6" w:rsidP="008E5660">
      <w:pPr>
        <w:autoSpaceDE w:val="0"/>
        <w:autoSpaceDN w:val="0"/>
        <w:adjustRightInd w:val="0"/>
        <w:spacing w:after="0"/>
        <w:ind w:left="900"/>
        <w:jc w:val="center"/>
        <w:rPr>
          <w:rFonts w:ascii="Times New Roman" w:hAnsi="Times New Roman"/>
          <w:sz w:val="24"/>
        </w:rPr>
      </w:pPr>
    </w:p>
    <w:p w:rsidR="00FE48A6" w:rsidRDefault="00FE48A6" w:rsidP="008E5660">
      <w:pPr>
        <w:autoSpaceDE w:val="0"/>
        <w:autoSpaceDN w:val="0"/>
        <w:adjustRightInd w:val="0"/>
        <w:spacing w:after="0"/>
        <w:ind w:left="900"/>
        <w:rPr>
          <w:rFonts w:ascii="Times New Roman" w:hAnsi="Times New Roman"/>
          <w:i/>
          <w:sz w:val="24"/>
        </w:rPr>
      </w:pPr>
      <w:r>
        <w:rPr>
          <w:rFonts w:ascii="Times New Roman" w:hAnsi="Times New Roman"/>
          <w:b/>
          <w:sz w:val="24"/>
        </w:rPr>
        <w:t xml:space="preserve">Abstract: </w:t>
      </w:r>
      <w:r>
        <w:rPr>
          <w:rFonts w:ascii="Times New Roman" w:hAnsi="Times New Roman"/>
          <w:i/>
          <w:sz w:val="24"/>
        </w:rPr>
        <w:t>In 2017</w:t>
      </w:r>
      <w:r w:rsidRPr="00FE598A">
        <w:rPr>
          <w:rFonts w:ascii="Times New Roman" w:hAnsi="Times New Roman"/>
          <w:i/>
          <w:sz w:val="24"/>
        </w:rPr>
        <w:t xml:space="preserve"> the authors of this paper created a Vector Error </w:t>
      </w:r>
      <w:r>
        <w:rPr>
          <w:rFonts w:ascii="Times New Roman" w:hAnsi="Times New Roman"/>
          <w:i/>
          <w:sz w:val="24"/>
        </w:rPr>
        <w:t xml:space="preserve">Correction </w:t>
      </w:r>
      <w:r w:rsidRPr="00FE598A">
        <w:rPr>
          <w:rFonts w:ascii="Times New Roman" w:hAnsi="Times New Roman"/>
          <w:i/>
          <w:sz w:val="24"/>
        </w:rPr>
        <w:t>Model to measure the impact of the Technological Development Industrial Zones (TDIZ) on attracting FDI in the country. TDIZ, as an exemption of the regular customs territory</w:t>
      </w:r>
      <w:r>
        <w:rPr>
          <w:rFonts w:ascii="Times New Roman" w:hAnsi="Times New Roman"/>
          <w:i/>
          <w:sz w:val="24"/>
        </w:rPr>
        <w:t>, enjoyed</w:t>
      </w:r>
      <w:r w:rsidRPr="00FE598A">
        <w:rPr>
          <w:rFonts w:ascii="Times New Roman" w:hAnsi="Times New Roman"/>
          <w:i/>
          <w:sz w:val="24"/>
        </w:rPr>
        <w:t xml:space="preserve"> preferential treatment for foreign investors.  The model confirmed the positive effect that TDIZ had upon the balance of payments; however the expected effect upon diminishing the high unemployment rate in the c</w:t>
      </w:r>
      <w:r>
        <w:rPr>
          <w:rFonts w:ascii="Times New Roman" w:hAnsi="Times New Roman"/>
          <w:i/>
          <w:sz w:val="24"/>
        </w:rPr>
        <w:t>ountry was lacking. This paper</w:t>
      </w:r>
      <w:r w:rsidRPr="00FE598A">
        <w:rPr>
          <w:rFonts w:ascii="Times New Roman" w:hAnsi="Times New Roman"/>
          <w:i/>
          <w:sz w:val="24"/>
        </w:rPr>
        <w:t xml:space="preserve"> is going to compare the </w:t>
      </w:r>
      <w:r>
        <w:rPr>
          <w:rFonts w:ascii="Times New Roman" w:hAnsi="Times New Roman"/>
          <w:i/>
          <w:sz w:val="24"/>
        </w:rPr>
        <w:t>latest revision of the policy on</w:t>
      </w:r>
      <w:r w:rsidRPr="00FE598A">
        <w:rPr>
          <w:rFonts w:ascii="Times New Roman" w:hAnsi="Times New Roman"/>
          <w:i/>
          <w:sz w:val="24"/>
        </w:rPr>
        <w:t xml:space="preserve"> investment support in the country with the previous one.</w:t>
      </w:r>
    </w:p>
    <w:p w:rsidR="00FE48A6" w:rsidRPr="0097564D" w:rsidRDefault="00FE48A6" w:rsidP="008E5660">
      <w:pPr>
        <w:autoSpaceDE w:val="0"/>
        <w:autoSpaceDN w:val="0"/>
        <w:adjustRightInd w:val="0"/>
        <w:spacing w:after="0"/>
        <w:ind w:left="900"/>
        <w:rPr>
          <w:rFonts w:ascii="Times New Roman" w:hAnsi="Times New Roman"/>
          <w:i/>
          <w:sz w:val="24"/>
        </w:rPr>
      </w:pPr>
    </w:p>
    <w:p w:rsidR="00FE48A6" w:rsidRDefault="00FE48A6" w:rsidP="008E5660">
      <w:pPr>
        <w:autoSpaceDE w:val="0"/>
        <w:autoSpaceDN w:val="0"/>
        <w:adjustRightInd w:val="0"/>
        <w:spacing w:after="0"/>
        <w:ind w:left="900"/>
        <w:rPr>
          <w:rFonts w:ascii="Times New Roman" w:hAnsi="Times New Roman"/>
          <w:i/>
          <w:sz w:val="24"/>
        </w:rPr>
      </w:pPr>
      <w:r w:rsidRPr="007C655F">
        <w:rPr>
          <w:rFonts w:ascii="Times New Roman" w:hAnsi="Times New Roman"/>
          <w:b/>
          <w:sz w:val="24"/>
        </w:rPr>
        <w:t>Key words:</w:t>
      </w:r>
      <w:r>
        <w:rPr>
          <w:rFonts w:ascii="Times New Roman" w:hAnsi="Times New Roman"/>
          <w:b/>
          <w:sz w:val="24"/>
        </w:rPr>
        <w:t xml:space="preserve"> </w:t>
      </w:r>
      <w:r w:rsidRPr="000F02B0">
        <w:rPr>
          <w:rFonts w:ascii="Times New Roman" w:hAnsi="Times New Roman"/>
          <w:i/>
          <w:sz w:val="24"/>
        </w:rPr>
        <w:t>FDI</w:t>
      </w:r>
      <w:r>
        <w:rPr>
          <w:rFonts w:ascii="Times New Roman" w:hAnsi="Times New Roman"/>
          <w:sz w:val="24"/>
        </w:rPr>
        <w:t xml:space="preserve">, </w:t>
      </w:r>
      <w:r w:rsidRPr="00FE598A">
        <w:rPr>
          <w:rFonts w:ascii="Times New Roman" w:hAnsi="Times New Roman"/>
          <w:i/>
          <w:sz w:val="24"/>
        </w:rPr>
        <w:t>Technological Development Industrial Zones (TDIZ)</w:t>
      </w:r>
      <w:r>
        <w:rPr>
          <w:rFonts w:ascii="Times New Roman" w:hAnsi="Times New Roman"/>
          <w:i/>
          <w:sz w:val="24"/>
        </w:rPr>
        <w:t xml:space="preserve">, incentives for foreign investors, investment policy, Vector Error Correction Model, </w:t>
      </w:r>
      <w:r w:rsidR="000F02B0">
        <w:rPr>
          <w:rFonts w:ascii="Times New Roman" w:hAnsi="Times New Roman"/>
          <w:i/>
          <w:sz w:val="24"/>
        </w:rPr>
        <w:t xml:space="preserve">the </w:t>
      </w:r>
      <w:r>
        <w:rPr>
          <w:rFonts w:ascii="Times New Roman" w:hAnsi="Times New Roman"/>
          <w:i/>
          <w:sz w:val="24"/>
        </w:rPr>
        <w:t>Republic of North Macedonia.</w:t>
      </w:r>
    </w:p>
    <w:p w:rsidR="00FE48A6" w:rsidRDefault="00FE48A6" w:rsidP="008E5660">
      <w:pPr>
        <w:autoSpaceDE w:val="0"/>
        <w:autoSpaceDN w:val="0"/>
        <w:adjustRightInd w:val="0"/>
        <w:spacing w:after="0"/>
        <w:ind w:left="900"/>
        <w:rPr>
          <w:rFonts w:ascii="Times New Roman" w:hAnsi="Times New Roman"/>
          <w:i/>
          <w:sz w:val="24"/>
        </w:rPr>
      </w:pPr>
    </w:p>
    <w:p w:rsidR="00FE48A6" w:rsidRDefault="00FE48A6" w:rsidP="008E5660">
      <w:pPr>
        <w:pStyle w:val="ListParagraph"/>
        <w:autoSpaceDE w:val="0"/>
        <w:autoSpaceDN w:val="0"/>
        <w:adjustRightInd w:val="0"/>
        <w:spacing w:after="0"/>
        <w:ind w:left="900"/>
        <w:rPr>
          <w:rFonts w:ascii="Times New Roman" w:hAnsi="Times New Roman"/>
          <w:b/>
        </w:rPr>
      </w:pPr>
    </w:p>
    <w:p w:rsidR="00FE48A6" w:rsidRDefault="00FE48A6" w:rsidP="008E5660">
      <w:pPr>
        <w:pStyle w:val="ListParagraph"/>
        <w:numPr>
          <w:ilvl w:val="0"/>
          <w:numId w:val="2"/>
        </w:numPr>
        <w:autoSpaceDE w:val="0"/>
        <w:autoSpaceDN w:val="0"/>
        <w:adjustRightInd w:val="0"/>
        <w:spacing w:after="0"/>
        <w:ind w:left="900" w:firstLine="0"/>
        <w:rPr>
          <w:rFonts w:ascii="Times New Roman" w:hAnsi="Times New Roman"/>
          <w:b/>
        </w:rPr>
      </w:pPr>
      <w:r>
        <w:rPr>
          <w:rFonts w:ascii="Times New Roman" w:hAnsi="Times New Roman"/>
          <w:b/>
        </w:rPr>
        <w:t>INTRODUCTION</w:t>
      </w:r>
    </w:p>
    <w:p w:rsidR="00FE48A6" w:rsidRDefault="00FE48A6" w:rsidP="008E5660">
      <w:pPr>
        <w:autoSpaceDE w:val="0"/>
        <w:autoSpaceDN w:val="0"/>
        <w:adjustRightInd w:val="0"/>
        <w:spacing w:after="0"/>
        <w:ind w:left="900"/>
        <w:rPr>
          <w:rFonts w:ascii="Times New Roman" w:hAnsi="Times New Roman"/>
          <w:b/>
          <w:sz w:val="24"/>
        </w:rPr>
      </w:pPr>
    </w:p>
    <w:p w:rsidR="00FE48A6" w:rsidRDefault="00FE48A6" w:rsidP="008E5660">
      <w:pPr>
        <w:autoSpaceDE w:val="0"/>
        <w:autoSpaceDN w:val="0"/>
        <w:adjustRightInd w:val="0"/>
        <w:spacing w:after="0"/>
        <w:ind w:left="900"/>
        <w:rPr>
          <w:rFonts w:ascii="Times New Roman" w:hAnsi="Times New Roman"/>
          <w:sz w:val="24"/>
        </w:rPr>
      </w:pPr>
      <w:r>
        <w:rPr>
          <w:rFonts w:ascii="Times New Roman" w:hAnsi="Times New Roman"/>
          <w:sz w:val="24"/>
        </w:rPr>
        <w:t>In the last two decades the Western Balkan countries have been preoccupied with the issue of attracting foreign direct investment (FDI). Despite the creation of CEFTA-2006 and the latest effort to upgrade the free trade area into a regional economic area, the regional approach on attracting FDI seems to be difficult to be put in practice. There are many reasons for the dis-functionality of the area among which the most important seems to be the lack of political will. Countries within the region compete among themselves in offering foreign investors different sets of incentives and abundant state support in order to attract their interest.</w:t>
      </w:r>
    </w:p>
    <w:p w:rsidR="00FE48A6" w:rsidRDefault="00FE48A6" w:rsidP="008E5660">
      <w:pPr>
        <w:autoSpaceDE w:val="0"/>
        <w:autoSpaceDN w:val="0"/>
        <w:adjustRightInd w:val="0"/>
        <w:spacing w:after="0"/>
        <w:ind w:left="900"/>
        <w:rPr>
          <w:rFonts w:ascii="Times New Roman" w:hAnsi="Times New Roman"/>
          <w:sz w:val="24"/>
        </w:rPr>
      </w:pPr>
    </w:p>
    <w:p w:rsidR="00FE48A6" w:rsidRDefault="00FE48A6" w:rsidP="008E5660">
      <w:pPr>
        <w:autoSpaceDE w:val="0"/>
        <w:autoSpaceDN w:val="0"/>
        <w:adjustRightInd w:val="0"/>
        <w:spacing w:after="0"/>
        <w:ind w:left="900"/>
        <w:rPr>
          <w:rFonts w:ascii="Times New Roman" w:hAnsi="Times New Roman"/>
          <w:sz w:val="24"/>
        </w:rPr>
      </w:pPr>
      <w:r>
        <w:rPr>
          <w:rFonts w:ascii="Times New Roman" w:hAnsi="Times New Roman"/>
          <w:sz w:val="24"/>
        </w:rPr>
        <w:t xml:space="preserve">The </w:t>
      </w:r>
      <w:smartTag w:uri="urn:schemas-microsoft-com:office:smarttags" w:element="place">
        <w:smartTag w:uri="urn:schemas-microsoft-com:office:smarttags" w:element="PlaceType">
          <w:r>
            <w:rPr>
              <w:rFonts w:ascii="Times New Roman" w:hAnsi="Times New Roman"/>
              <w:sz w:val="24"/>
            </w:rPr>
            <w:t>Republic</w:t>
          </w:r>
        </w:smartTag>
        <w:r>
          <w:rPr>
            <w:rFonts w:ascii="Times New Roman" w:hAnsi="Times New Roman"/>
            <w:sz w:val="24"/>
          </w:rPr>
          <w:t xml:space="preserve"> of </w:t>
        </w:r>
        <w:smartTag w:uri="urn:schemas-microsoft-com:office:smarttags" w:element="PlaceName">
          <w:r>
            <w:rPr>
              <w:rFonts w:ascii="Times New Roman" w:hAnsi="Times New Roman"/>
              <w:sz w:val="24"/>
            </w:rPr>
            <w:t>North Macedonia</w:t>
          </w:r>
        </w:smartTag>
      </w:smartTag>
      <w:r>
        <w:rPr>
          <w:rFonts w:ascii="Times New Roman" w:hAnsi="Times New Roman"/>
          <w:sz w:val="24"/>
        </w:rPr>
        <w:t xml:space="preserve"> is not an exemption from the rule in the region. In the last 20 years the country made a lot of effort to create a favorable business environment for FDI by enforcing laws up to the standards of the EU, as well as according to the obligations undertaken with its membership into the WTO. However,</w:t>
      </w:r>
      <w:r w:rsidRPr="00DC471A">
        <w:rPr>
          <w:rFonts w:ascii="Times New Roman" w:hAnsi="Times New Roman"/>
          <w:sz w:val="24"/>
        </w:rPr>
        <w:t xml:space="preserve"> </w:t>
      </w:r>
      <w:r>
        <w:rPr>
          <w:rFonts w:ascii="Times New Roman" w:hAnsi="Times New Roman"/>
          <w:sz w:val="24"/>
        </w:rPr>
        <w:t xml:space="preserve">the limited domestic market, the bad transportation infrastructure and complicated </w:t>
      </w:r>
      <w:r>
        <w:rPr>
          <w:rFonts w:ascii="Times New Roman" w:hAnsi="Times New Roman"/>
          <w:sz w:val="24"/>
        </w:rPr>
        <w:lastRenderedPageBreak/>
        <w:t xml:space="preserve">border procedures within the region, were some of the reasons why foreign investors were hesitant to invest in important projects in the country. </w:t>
      </w:r>
    </w:p>
    <w:p w:rsidR="00FE48A6" w:rsidRDefault="00FE48A6" w:rsidP="008E5660">
      <w:pPr>
        <w:autoSpaceDE w:val="0"/>
        <w:autoSpaceDN w:val="0"/>
        <w:adjustRightInd w:val="0"/>
        <w:spacing w:after="0"/>
        <w:ind w:left="900"/>
        <w:rPr>
          <w:rFonts w:ascii="Times New Roman" w:hAnsi="Times New Roman"/>
          <w:sz w:val="24"/>
        </w:rPr>
      </w:pPr>
    </w:p>
    <w:p w:rsidR="00FE48A6" w:rsidRDefault="00FE48A6" w:rsidP="008E5660">
      <w:pPr>
        <w:autoSpaceDE w:val="0"/>
        <w:autoSpaceDN w:val="0"/>
        <w:adjustRightInd w:val="0"/>
        <w:spacing w:after="0"/>
        <w:ind w:left="900"/>
        <w:rPr>
          <w:rFonts w:ascii="Times New Roman" w:hAnsi="Times New Roman"/>
          <w:sz w:val="24"/>
        </w:rPr>
      </w:pPr>
      <w:r>
        <w:rPr>
          <w:rFonts w:ascii="Times New Roman" w:hAnsi="Times New Roman"/>
          <w:sz w:val="24"/>
        </w:rPr>
        <w:t>Back in the year of 2000, trying to increase the attractiveness of the economy for FDI, a law on creation of free economic zones as exemption from the enacted customs and fiscal rules was adopted. However, the zones were not active until 2008, when they were rebranded into Technological Development Industrial Zones (TDIZ). Foreign investors that would consider investment within the zones in production aimed for export out of the country were provided additional incentives and abundant subsides by the state. This approach was severely criticized by the academia and the domestic business sector, as it openly discriminated domestic in favor of foreign investors. Last year the arguments against the used model on attracting FDI were accepted which resulted in adopting a new policy on investment.</w:t>
      </w:r>
    </w:p>
    <w:p w:rsidR="00FE48A6" w:rsidRDefault="00FE48A6" w:rsidP="008E5660">
      <w:pPr>
        <w:autoSpaceDE w:val="0"/>
        <w:autoSpaceDN w:val="0"/>
        <w:adjustRightInd w:val="0"/>
        <w:spacing w:after="0"/>
        <w:ind w:left="900"/>
        <w:rPr>
          <w:rFonts w:ascii="Times New Roman" w:hAnsi="Times New Roman"/>
          <w:sz w:val="24"/>
        </w:rPr>
      </w:pPr>
    </w:p>
    <w:p w:rsidR="00FE48A6" w:rsidRPr="0097564D" w:rsidRDefault="00FE48A6" w:rsidP="008E5660">
      <w:pPr>
        <w:autoSpaceDE w:val="0"/>
        <w:autoSpaceDN w:val="0"/>
        <w:adjustRightInd w:val="0"/>
        <w:spacing w:after="0"/>
        <w:ind w:left="900"/>
        <w:rPr>
          <w:rFonts w:ascii="Times New Roman" w:hAnsi="Times New Roman"/>
          <w:sz w:val="24"/>
        </w:rPr>
      </w:pPr>
      <w:r w:rsidRPr="0097564D">
        <w:rPr>
          <w:rFonts w:ascii="Times New Roman" w:hAnsi="Times New Roman"/>
          <w:sz w:val="24"/>
        </w:rPr>
        <w:t>After a brief overview on the relevant theory on FDI, the paper</w:t>
      </w:r>
      <w:r>
        <w:rPr>
          <w:rFonts w:ascii="Times New Roman" w:hAnsi="Times New Roman"/>
          <w:sz w:val="24"/>
        </w:rPr>
        <w:t xml:space="preserve"> analyzes </w:t>
      </w:r>
      <w:r w:rsidRPr="0097564D">
        <w:rPr>
          <w:rFonts w:ascii="Times New Roman" w:hAnsi="Times New Roman"/>
          <w:sz w:val="24"/>
        </w:rPr>
        <w:t>the incentives on FDI provided in the former</w:t>
      </w:r>
      <w:r>
        <w:rPr>
          <w:rFonts w:ascii="Times New Roman" w:hAnsi="Times New Roman"/>
          <w:sz w:val="24"/>
        </w:rPr>
        <w:t xml:space="preserve"> national</w:t>
      </w:r>
      <w:r w:rsidRPr="0097564D">
        <w:rPr>
          <w:rFonts w:ascii="Times New Roman" w:hAnsi="Times New Roman"/>
          <w:sz w:val="24"/>
        </w:rPr>
        <w:t xml:space="preserve"> policy on investment, than presen</w:t>
      </w:r>
      <w:r>
        <w:rPr>
          <w:rFonts w:ascii="Times New Roman" w:hAnsi="Times New Roman"/>
          <w:sz w:val="24"/>
        </w:rPr>
        <w:t>ts the most important finding of the VEC</w:t>
      </w:r>
      <w:r w:rsidRPr="0097564D">
        <w:rPr>
          <w:rFonts w:ascii="Times New Roman" w:hAnsi="Times New Roman"/>
          <w:sz w:val="24"/>
        </w:rPr>
        <w:t xml:space="preserve"> model</w:t>
      </w:r>
      <w:r>
        <w:rPr>
          <w:rFonts w:ascii="Times New Roman" w:hAnsi="Times New Roman"/>
          <w:sz w:val="24"/>
        </w:rPr>
        <w:t xml:space="preserve"> on FDI run in 2017 for evaluating positive and negative effects from the incentives for foreign investors under the previous policy in the country, </w:t>
      </w:r>
      <w:r w:rsidRPr="0097564D">
        <w:rPr>
          <w:rFonts w:ascii="Times New Roman" w:hAnsi="Times New Roman"/>
          <w:sz w:val="24"/>
        </w:rPr>
        <w:t>and at last, presents the new policy on investment defined at the end of 2018.</w:t>
      </w:r>
    </w:p>
    <w:p w:rsidR="00FE48A6" w:rsidRPr="0097564D" w:rsidRDefault="00FE48A6" w:rsidP="008E5660">
      <w:pPr>
        <w:autoSpaceDE w:val="0"/>
        <w:autoSpaceDN w:val="0"/>
        <w:adjustRightInd w:val="0"/>
        <w:spacing w:after="0"/>
        <w:ind w:left="900"/>
        <w:rPr>
          <w:rFonts w:ascii="Times New Roman" w:hAnsi="Times New Roman"/>
          <w:sz w:val="24"/>
        </w:rPr>
      </w:pPr>
    </w:p>
    <w:p w:rsidR="00FE48A6" w:rsidRPr="004678D6" w:rsidRDefault="00FE48A6" w:rsidP="008E5660">
      <w:pPr>
        <w:pStyle w:val="Default"/>
        <w:numPr>
          <w:ilvl w:val="0"/>
          <w:numId w:val="2"/>
        </w:numPr>
        <w:ind w:left="900" w:firstLine="0"/>
        <w:jc w:val="both"/>
        <w:rPr>
          <w:b/>
          <w:lang w:val="mk-MK"/>
        </w:rPr>
      </w:pPr>
      <w:r>
        <w:rPr>
          <w:b/>
        </w:rPr>
        <w:t>INCENTIVES PROVIDED FOR FOREIGN INVESTORS AND THE EFFECTS THEREOFF IN THE PERIOD FROM 2008-2017</w:t>
      </w:r>
    </w:p>
    <w:p w:rsidR="00FE48A6" w:rsidRPr="004678D6" w:rsidRDefault="00FE48A6" w:rsidP="008E5660">
      <w:pPr>
        <w:pStyle w:val="Default"/>
        <w:ind w:left="900"/>
        <w:jc w:val="both"/>
        <w:rPr>
          <w:b/>
          <w:lang w:val="mk-MK"/>
        </w:rPr>
      </w:pPr>
    </w:p>
    <w:p w:rsidR="00FE48A6" w:rsidRDefault="00FE48A6" w:rsidP="008E5660">
      <w:pPr>
        <w:pStyle w:val="Default"/>
        <w:ind w:left="900"/>
        <w:jc w:val="both"/>
      </w:pPr>
      <w:r w:rsidRPr="00324DC1">
        <w:t>The role of</w:t>
      </w:r>
      <w:r>
        <w:t xml:space="preserve"> incentives for attracting FDI in countries of transition wa</w:t>
      </w:r>
      <w:r w:rsidRPr="00324DC1">
        <w:t xml:space="preserve">s </w:t>
      </w:r>
      <w:r>
        <w:t xml:space="preserve">thoroughly </w:t>
      </w:r>
      <w:r w:rsidRPr="00324DC1">
        <w:t>analyzed in the academic lit</w:t>
      </w:r>
      <w:r>
        <w:t xml:space="preserve">erature.  </w:t>
      </w:r>
      <w:r w:rsidRPr="00324DC1">
        <w:t>Results of different researches led in this field were basically conflicting or with predominantly negative connotation</w:t>
      </w:r>
      <w:r>
        <w:t xml:space="preserve">. </w:t>
      </w:r>
      <w:r w:rsidRPr="00324DC1">
        <w:t xml:space="preserve">Most of the authors came to conclusion that the active approach in granting incentives to foreign investors might have strong negative impact upon the corruptive practices within the institutions of the system and might lead to withdrawal of the decision of a foreign investor to effectuate the investment. </w:t>
      </w:r>
      <w:r>
        <w:t>[1], [2] Cass F.</w:t>
      </w:r>
      <w:r w:rsidRPr="00324DC1">
        <w:t xml:space="preserve"> investigated the role of fiscal and financial incentives, on one hand, and the policy applied by Investment Promotion Agencies (IPAs) in attracting FDI into European transition economies.</w:t>
      </w:r>
      <w:r>
        <w:t xml:space="preserve"> [3]</w:t>
      </w:r>
      <w:r w:rsidRPr="00324DC1">
        <w:t xml:space="preserve"> Abundant tax relieves usually have a negative</w:t>
      </w:r>
      <w:r>
        <w:t xml:space="preserve"> impact on the total effect of</w:t>
      </w:r>
      <w:r w:rsidRPr="00324DC1">
        <w:t xml:space="preserve"> the attracted FDI, as they increase the costs for the host country to an extent that might overcome the total positive effect of the effectuated foreign investment. It is even more important to point out that the up-to-date research in the area did not provide a proof on the statistically significant relation in attracting FDI neither with regard of institutional determinants nor in regard of financial and fiscal incentives</w:t>
      </w:r>
      <w:r>
        <w:t>. [4] Kalotay</w:t>
      </w:r>
      <w:r w:rsidRPr="00324DC1">
        <w:t xml:space="preserve"> analyzed the FDI inflows in </w:t>
      </w:r>
      <w:smartTag w:uri="urn:schemas-microsoft-com:office:smarttags" w:element="country-region">
        <w:r w:rsidRPr="00324DC1">
          <w:t>Bulgaria</w:t>
        </w:r>
      </w:smartTag>
      <w:r w:rsidRPr="00324DC1">
        <w:t xml:space="preserve"> and </w:t>
      </w:r>
      <w:smartTag w:uri="urn:schemas-microsoft-com:office:smarttags" w:element="place">
        <w:smartTag w:uri="urn:schemas-microsoft-com:office:smarttags" w:element="country-region">
          <w:r w:rsidRPr="00324DC1">
            <w:t>Romania</w:t>
          </w:r>
        </w:smartTag>
      </w:smartTag>
      <w:r w:rsidRPr="00324DC1">
        <w:t xml:space="preserve"> at the beginning of their EU accession process and found that despite the major labor cost</w:t>
      </w:r>
      <w:r>
        <w:t>s</w:t>
      </w:r>
      <w:r w:rsidRPr="00324DC1">
        <w:t xml:space="preserve"> and corporate tax advantages</w:t>
      </w:r>
      <w:r>
        <w:t>,</w:t>
      </w:r>
      <w:r w:rsidRPr="00324DC1">
        <w:t xml:space="preserve"> these countries attracted relatively few efficiency seeking projects, mostly in garments and footwear. He further explains that in order to increase and materialize the FDI potential of these countries they need to improve the business environment by strengthening the judiciary system, fighting against corruption and organize</w:t>
      </w:r>
      <w:r>
        <w:t>d</w:t>
      </w:r>
      <w:r w:rsidRPr="00324DC1">
        <w:t xml:space="preserve"> crime in </w:t>
      </w:r>
      <w:smartTag w:uri="urn:schemas-microsoft-com:office:smarttags" w:element="place">
        <w:smartTag w:uri="urn:schemas-microsoft-com:office:smarttags" w:element="country-region">
          <w:r w:rsidRPr="00324DC1">
            <w:t>Bulgaria</w:t>
          </w:r>
        </w:smartTag>
      </w:smartTag>
      <w:r w:rsidRPr="00324DC1">
        <w:t>.</w:t>
      </w:r>
      <w:r>
        <w:t xml:space="preserve"> [5] </w:t>
      </w:r>
    </w:p>
    <w:p w:rsidR="00FE48A6" w:rsidRDefault="00FE48A6" w:rsidP="008E5660">
      <w:pPr>
        <w:pStyle w:val="Default"/>
        <w:ind w:left="900"/>
        <w:jc w:val="both"/>
      </w:pPr>
    </w:p>
    <w:p w:rsidR="00FE48A6" w:rsidRPr="005D0364" w:rsidRDefault="00FE48A6" w:rsidP="008E5660">
      <w:pPr>
        <w:pStyle w:val="Default"/>
        <w:ind w:left="900"/>
        <w:jc w:val="both"/>
      </w:pPr>
      <w:r>
        <w:lastRenderedPageBreak/>
        <w:t>Despite of the competition of providing various benefits and incentives for foreign investors, it is a fact that</w:t>
      </w:r>
      <w:r w:rsidRPr="00124F23">
        <w:t xml:space="preserve"> Western </w:t>
      </w:r>
      <w:r>
        <w:t xml:space="preserve">Balkan economies seem to be the least attractive for foreign investors. </w:t>
      </w:r>
      <w:r w:rsidRPr="00124F23">
        <w:t xml:space="preserve"> </w:t>
      </w:r>
      <w:r>
        <w:t>The main cause for this unattractiveness is the process of de-industrialization of WB economies</w:t>
      </w:r>
      <w:r w:rsidRPr="00124F23">
        <w:t xml:space="preserve">. In 2014 </w:t>
      </w:r>
      <w:r w:rsidRPr="00124F23">
        <w:rPr>
          <w:bCs/>
        </w:rPr>
        <w:t xml:space="preserve">the </w:t>
      </w:r>
      <w:r>
        <w:rPr>
          <w:bCs/>
        </w:rPr>
        <w:t xml:space="preserve">regional </w:t>
      </w:r>
      <w:r w:rsidRPr="00124F23">
        <w:rPr>
          <w:bCs/>
        </w:rPr>
        <w:t>average share of manufacturing value added</w:t>
      </w:r>
      <w:r>
        <w:rPr>
          <w:bCs/>
        </w:rPr>
        <w:t xml:space="preserve"> in GDP reached </w:t>
      </w:r>
      <w:r w:rsidRPr="00124F23">
        <w:rPr>
          <w:bCs/>
        </w:rPr>
        <w:t>12%, while t</w:t>
      </w:r>
      <w:r>
        <w:rPr>
          <w:bCs/>
        </w:rPr>
        <w:t>he average share of services reached</w:t>
      </w:r>
      <w:r w:rsidRPr="00124F23">
        <w:rPr>
          <w:bCs/>
        </w:rPr>
        <w:t xml:space="preserve"> 62% of GDP. </w:t>
      </w:r>
      <w:r>
        <w:t>The regional average</w:t>
      </w:r>
      <w:r w:rsidRPr="00972633">
        <w:t xml:space="preserve"> </w:t>
      </w:r>
      <w:r>
        <w:t xml:space="preserve">of realized FDI inflow was </w:t>
      </w:r>
      <w:r w:rsidRPr="00124F23">
        <w:t>abou</w:t>
      </w:r>
      <w:r>
        <w:t xml:space="preserve">t 8% of the total GDP for the period from 2005-2014 and was more than two times bigger than the value of the same </w:t>
      </w:r>
      <w:r w:rsidRPr="00124F23">
        <w:t>i</w:t>
      </w:r>
      <w:r>
        <w:t>ndicator calculated for the</w:t>
      </w:r>
      <w:r w:rsidRPr="00124F23">
        <w:t xml:space="preserve"> </w:t>
      </w:r>
      <w:r>
        <w:t>CEE economies at that time (</w:t>
      </w:r>
      <w:r w:rsidRPr="00124F23">
        <w:t>3% of GDP</w:t>
      </w:r>
      <w:r>
        <w:t>)</w:t>
      </w:r>
      <w:r w:rsidRPr="00124F23">
        <w:t>.</w:t>
      </w:r>
      <w:r>
        <w:t xml:space="preserve"> </w:t>
      </w:r>
      <w:r>
        <w:rPr>
          <w:color w:val="FF0000"/>
        </w:rPr>
        <w:t>[6</w:t>
      </w:r>
      <w:r w:rsidRPr="00F823B2">
        <w:rPr>
          <w:color w:val="FF0000"/>
        </w:rPr>
        <w:t>]</w:t>
      </w:r>
    </w:p>
    <w:p w:rsidR="00FE48A6" w:rsidRDefault="00FE48A6" w:rsidP="008E5660">
      <w:pPr>
        <w:autoSpaceDE w:val="0"/>
        <w:autoSpaceDN w:val="0"/>
        <w:adjustRightInd w:val="0"/>
        <w:spacing w:after="0"/>
        <w:ind w:left="900" w:right="44"/>
        <w:rPr>
          <w:rFonts w:ascii="Times New Roman" w:hAnsi="Times New Roman"/>
          <w:color w:val="FF0000"/>
          <w:sz w:val="24"/>
        </w:rPr>
      </w:pPr>
    </w:p>
    <w:p w:rsidR="00FE48A6" w:rsidRDefault="00FE48A6" w:rsidP="008E5660">
      <w:pPr>
        <w:autoSpaceDE w:val="0"/>
        <w:autoSpaceDN w:val="0"/>
        <w:adjustRightInd w:val="0"/>
        <w:spacing w:after="0"/>
        <w:ind w:left="900" w:right="44"/>
        <w:rPr>
          <w:rFonts w:ascii="Times New Roman" w:hAnsi="Times New Roman"/>
          <w:sz w:val="24"/>
        </w:rPr>
      </w:pPr>
      <w:r>
        <w:rPr>
          <w:rFonts w:ascii="Times New Roman" w:hAnsi="Times New Roman"/>
          <w:sz w:val="24"/>
        </w:rPr>
        <w:t xml:space="preserve">When speaking about the individual performance of the economies of the Western Balkans it is evident that the Macedonian economy has achieved very poor results and was overtaken by far by the Serbian economy which was considered to be the country with the biggest economic capacity for FDI in the region. However, the leading country by the amount of FDI per capita is </w:t>
      </w:r>
      <w:smartTag w:uri="urn:schemas-microsoft-com:office:smarttags" w:element="place">
        <w:smartTag w:uri="urn:schemas-microsoft-com:office:smarttags" w:element="country-region">
          <w:r>
            <w:rPr>
              <w:rFonts w:ascii="Times New Roman" w:hAnsi="Times New Roman"/>
              <w:sz w:val="24"/>
            </w:rPr>
            <w:t>Montenegro</w:t>
          </w:r>
        </w:smartTag>
      </w:smartTag>
      <w:r>
        <w:rPr>
          <w:rFonts w:ascii="Times New Roman" w:hAnsi="Times New Roman"/>
          <w:sz w:val="24"/>
        </w:rPr>
        <w:t xml:space="preserve">, which attracted </w:t>
      </w:r>
      <w:r w:rsidRPr="00124F23">
        <w:rPr>
          <w:rFonts w:ascii="Times New Roman" w:hAnsi="Times New Roman"/>
          <w:sz w:val="24"/>
        </w:rPr>
        <w:t>6,290 EUR per capita</w:t>
      </w:r>
      <w:r>
        <w:rPr>
          <w:rFonts w:ascii="Times New Roman" w:hAnsi="Times New Roman"/>
          <w:sz w:val="24"/>
        </w:rPr>
        <w:t xml:space="preserve"> by the end of 2014.</w:t>
      </w:r>
    </w:p>
    <w:p w:rsidR="00FE48A6" w:rsidRDefault="00FE48A6" w:rsidP="008E5660">
      <w:pPr>
        <w:autoSpaceDE w:val="0"/>
        <w:autoSpaceDN w:val="0"/>
        <w:adjustRightInd w:val="0"/>
        <w:spacing w:after="0"/>
        <w:ind w:left="900" w:right="44"/>
        <w:rPr>
          <w:rFonts w:ascii="Times New Roman" w:hAnsi="Times New Roman"/>
          <w:sz w:val="24"/>
        </w:rPr>
      </w:pPr>
    </w:p>
    <w:p w:rsidR="00FE48A6" w:rsidRPr="00025670" w:rsidRDefault="00DF5F12" w:rsidP="008E5660">
      <w:pPr>
        <w:autoSpaceDE w:val="0"/>
        <w:autoSpaceDN w:val="0"/>
        <w:adjustRightInd w:val="0"/>
        <w:spacing w:after="0"/>
        <w:ind w:left="900" w:right="44"/>
      </w:pPr>
      <w:r>
        <w:rPr>
          <w:rFonts w:ascii="Times New Roman" w:hAnsi="Times New Roman"/>
          <w:noProof/>
          <w:sz w:val="24"/>
          <w:lang w:eastAsia="en-US"/>
        </w:rPr>
        <w:drawing>
          <wp:inline distT="0" distB="0" distL="0" distR="0" wp14:anchorId="12D6C8FA" wp14:editId="54E8E181">
            <wp:extent cx="5898515" cy="323469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E48A6" w:rsidRDefault="00FE48A6" w:rsidP="008E5660">
      <w:pPr>
        <w:autoSpaceDE w:val="0"/>
        <w:autoSpaceDN w:val="0"/>
        <w:adjustRightInd w:val="0"/>
        <w:spacing w:after="0"/>
        <w:ind w:left="900" w:right="44"/>
        <w:jc w:val="center"/>
        <w:rPr>
          <w:rFonts w:ascii="Times New Roman" w:hAnsi="Times New Roman"/>
          <w:sz w:val="24"/>
        </w:rPr>
      </w:pPr>
      <w:r w:rsidRPr="004E2C73">
        <w:rPr>
          <w:rFonts w:ascii="Times New Roman" w:hAnsi="Times New Roman"/>
          <w:sz w:val="24"/>
        </w:rPr>
        <w:t>Graph 1: FDI inflow in Western Balkans in the period fr</w:t>
      </w:r>
      <w:r>
        <w:rPr>
          <w:rFonts w:ascii="Times New Roman" w:hAnsi="Times New Roman"/>
          <w:sz w:val="24"/>
        </w:rPr>
        <w:t xml:space="preserve">om 2005 to 2014 (in million EUR) </w:t>
      </w:r>
      <w:r w:rsidRPr="00124F23">
        <w:rPr>
          <w:rFonts w:ascii="Times New Roman" w:hAnsi="Times New Roman"/>
          <w:sz w:val="24"/>
        </w:rPr>
        <w:t>Source: WiiW database</w:t>
      </w:r>
    </w:p>
    <w:p w:rsidR="00FE48A6" w:rsidRDefault="00FE48A6" w:rsidP="008E5660">
      <w:pPr>
        <w:autoSpaceDE w:val="0"/>
        <w:autoSpaceDN w:val="0"/>
        <w:adjustRightInd w:val="0"/>
        <w:spacing w:after="0"/>
        <w:ind w:left="900" w:right="44"/>
        <w:rPr>
          <w:rFonts w:ascii="Times New Roman" w:hAnsi="Times New Roman"/>
          <w:sz w:val="24"/>
        </w:rPr>
      </w:pPr>
    </w:p>
    <w:p w:rsidR="00FE48A6" w:rsidRDefault="00FE48A6" w:rsidP="008E5660">
      <w:pPr>
        <w:autoSpaceDE w:val="0"/>
        <w:autoSpaceDN w:val="0"/>
        <w:adjustRightInd w:val="0"/>
        <w:spacing w:after="0"/>
        <w:ind w:left="900" w:right="44"/>
        <w:rPr>
          <w:rFonts w:ascii="Times New Roman" w:hAnsi="Times New Roman"/>
          <w:sz w:val="24"/>
        </w:rPr>
      </w:pPr>
      <w:r>
        <w:rPr>
          <w:rFonts w:ascii="Times New Roman" w:hAnsi="Times New Roman"/>
          <w:sz w:val="24"/>
        </w:rPr>
        <w:t>T</w:t>
      </w:r>
      <w:r w:rsidRPr="00124F23">
        <w:rPr>
          <w:rFonts w:ascii="Times New Roman" w:hAnsi="Times New Roman"/>
          <w:sz w:val="24"/>
        </w:rPr>
        <w:t xml:space="preserve">he </w:t>
      </w:r>
      <w:r w:rsidRPr="00124F23">
        <w:rPr>
          <w:rFonts w:ascii="Times New Roman" w:hAnsi="Times New Roman"/>
          <w:bCs/>
          <w:sz w:val="24"/>
        </w:rPr>
        <w:t xml:space="preserve">FDI inflow in </w:t>
      </w:r>
      <w:smartTag w:uri="urn:schemas-microsoft-com:office:smarttags" w:element="place">
        <w:smartTag w:uri="urn:schemas-microsoft-com:office:smarttags" w:element="country-region">
          <w:r w:rsidRPr="00124F23">
            <w:rPr>
              <w:rFonts w:ascii="Times New Roman" w:hAnsi="Times New Roman"/>
              <w:bCs/>
              <w:sz w:val="24"/>
            </w:rPr>
            <w:t>Macedonia</w:t>
          </w:r>
        </w:smartTag>
      </w:smartTag>
      <w:r>
        <w:rPr>
          <w:rFonts w:ascii="Times New Roman" w:hAnsi="Times New Roman"/>
          <w:bCs/>
          <w:sz w:val="24"/>
        </w:rPr>
        <w:t xml:space="preserve"> during the last two decades </w:t>
      </w:r>
      <w:r w:rsidRPr="00124F23">
        <w:rPr>
          <w:rFonts w:ascii="Times New Roman" w:hAnsi="Times New Roman"/>
          <w:bCs/>
          <w:sz w:val="24"/>
        </w:rPr>
        <w:t>remained very low and crea</w:t>
      </w:r>
      <w:r>
        <w:rPr>
          <w:rFonts w:ascii="Times New Roman" w:hAnsi="Times New Roman"/>
          <w:bCs/>
          <w:sz w:val="24"/>
        </w:rPr>
        <w:t xml:space="preserve">ted approximately 2.5-3% of </w:t>
      </w:r>
      <w:r w:rsidRPr="00124F23">
        <w:rPr>
          <w:rFonts w:ascii="Times New Roman" w:hAnsi="Times New Roman"/>
          <w:bCs/>
          <w:sz w:val="24"/>
        </w:rPr>
        <w:t>GDP</w:t>
      </w:r>
      <w:r w:rsidRPr="00124F23">
        <w:rPr>
          <w:rFonts w:ascii="Times New Roman" w:hAnsi="Times New Roman"/>
          <w:sz w:val="24"/>
        </w:rPr>
        <w:t xml:space="preserve"> </w:t>
      </w:r>
      <w:r w:rsidRPr="00124F23">
        <w:rPr>
          <w:rFonts w:ascii="Times New Roman" w:hAnsi="Times New Roman"/>
          <w:bCs/>
          <w:sz w:val="24"/>
        </w:rPr>
        <w:t>per year</w:t>
      </w:r>
      <w:r w:rsidRPr="00124F23">
        <w:rPr>
          <w:rFonts w:ascii="Times New Roman" w:hAnsi="Times New Roman"/>
          <w:sz w:val="24"/>
        </w:rPr>
        <w:t xml:space="preserve">. </w:t>
      </w:r>
      <w:r>
        <w:rPr>
          <w:rFonts w:ascii="Times New Roman" w:hAnsi="Times New Roman"/>
          <w:sz w:val="24"/>
        </w:rPr>
        <w:t xml:space="preserve">Foreign investors were unwilling to invest in a small, landlocked economy, with a limited domestic market, lack of access to fresh capital, low level of productivity deriving from inconvenient and technologically outdated economic structure and poor transport infrastructure. </w:t>
      </w:r>
      <w:r w:rsidRPr="00124F23">
        <w:rPr>
          <w:rFonts w:ascii="Times New Roman" w:hAnsi="Times New Roman"/>
          <w:bCs/>
          <w:sz w:val="24"/>
        </w:rPr>
        <w:t xml:space="preserve">The </w:t>
      </w:r>
      <w:r>
        <w:rPr>
          <w:rFonts w:ascii="Times New Roman" w:hAnsi="Times New Roman"/>
          <w:bCs/>
          <w:sz w:val="24"/>
        </w:rPr>
        <w:t xml:space="preserve">government tried to improve the business climate by </w:t>
      </w:r>
      <w:r w:rsidRPr="00124F23">
        <w:rPr>
          <w:rFonts w:ascii="Times New Roman" w:hAnsi="Times New Roman"/>
          <w:bCs/>
          <w:sz w:val="24"/>
        </w:rPr>
        <w:t>significant reforms</w:t>
      </w:r>
      <w:r>
        <w:rPr>
          <w:rFonts w:ascii="Times New Roman" w:hAnsi="Times New Roman"/>
          <w:bCs/>
          <w:sz w:val="24"/>
        </w:rPr>
        <w:t xml:space="preserve"> of the legal system</w:t>
      </w:r>
      <w:r w:rsidRPr="00124F23">
        <w:rPr>
          <w:rFonts w:ascii="Times New Roman" w:hAnsi="Times New Roman"/>
          <w:bCs/>
          <w:sz w:val="24"/>
        </w:rPr>
        <w:t xml:space="preserve">, </w:t>
      </w:r>
      <w:r>
        <w:rPr>
          <w:rFonts w:ascii="Times New Roman" w:hAnsi="Times New Roman"/>
          <w:bCs/>
          <w:sz w:val="24"/>
        </w:rPr>
        <w:t>therewith trying to provide</w:t>
      </w:r>
      <w:r w:rsidRPr="00124F23">
        <w:rPr>
          <w:rFonts w:ascii="Times New Roman" w:hAnsi="Times New Roman"/>
          <w:bCs/>
          <w:sz w:val="24"/>
        </w:rPr>
        <w:t xml:space="preserve"> liberal provisions on FDI and guaranteeing foreign in</w:t>
      </w:r>
      <w:r>
        <w:rPr>
          <w:rFonts w:ascii="Times New Roman" w:hAnsi="Times New Roman"/>
          <w:bCs/>
          <w:sz w:val="24"/>
        </w:rPr>
        <w:t xml:space="preserve">vestors national treatment. </w:t>
      </w:r>
      <w:r>
        <w:rPr>
          <w:rFonts w:ascii="Times New Roman" w:hAnsi="Times New Roman"/>
          <w:sz w:val="24"/>
        </w:rPr>
        <w:t xml:space="preserve">Since 2008 the most influential enacted law in this area </w:t>
      </w:r>
      <w:r>
        <w:rPr>
          <w:rFonts w:ascii="Times New Roman" w:hAnsi="Times New Roman"/>
          <w:sz w:val="24"/>
        </w:rPr>
        <w:lastRenderedPageBreak/>
        <w:t>ha</w:t>
      </w:r>
      <w:r w:rsidRPr="00124F23">
        <w:rPr>
          <w:rFonts w:ascii="Times New Roman" w:hAnsi="Times New Roman"/>
          <w:sz w:val="24"/>
        </w:rPr>
        <w:t>s</w:t>
      </w:r>
      <w:r>
        <w:rPr>
          <w:rFonts w:ascii="Times New Roman" w:hAnsi="Times New Roman"/>
          <w:sz w:val="24"/>
        </w:rPr>
        <w:t xml:space="preserve"> been</w:t>
      </w:r>
      <w:r w:rsidRPr="00124F23">
        <w:rPr>
          <w:rFonts w:ascii="Times New Roman" w:hAnsi="Times New Roman"/>
          <w:sz w:val="24"/>
        </w:rPr>
        <w:t xml:space="preserve"> </w:t>
      </w:r>
      <w:r w:rsidRPr="00124F23">
        <w:rPr>
          <w:rFonts w:ascii="Times New Roman" w:hAnsi="Times New Roman"/>
          <w:bCs/>
          <w:sz w:val="24"/>
        </w:rPr>
        <w:t>the Law on Technologic</w:t>
      </w:r>
      <w:r>
        <w:rPr>
          <w:rFonts w:ascii="Times New Roman" w:hAnsi="Times New Roman"/>
          <w:bCs/>
          <w:sz w:val="24"/>
        </w:rPr>
        <w:t xml:space="preserve">al Development Industrial Zones. [7] </w:t>
      </w:r>
      <w:r w:rsidRPr="00124F23">
        <w:rPr>
          <w:rFonts w:ascii="Times New Roman" w:hAnsi="Times New Roman"/>
          <w:sz w:val="24"/>
        </w:rPr>
        <w:t>According to this Law, com</w:t>
      </w:r>
      <w:r>
        <w:rPr>
          <w:rFonts w:ascii="Times New Roman" w:hAnsi="Times New Roman"/>
          <w:sz w:val="24"/>
        </w:rPr>
        <w:t>panies functioning within the T</w:t>
      </w:r>
      <w:r w:rsidRPr="00124F23">
        <w:rPr>
          <w:rFonts w:ascii="Times New Roman" w:hAnsi="Times New Roman"/>
          <w:sz w:val="24"/>
        </w:rPr>
        <w:t>D</w:t>
      </w:r>
      <w:r>
        <w:rPr>
          <w:rFonts w:ascii="Times New Roman" w:hAnsi="Times New Roman"/>
          <w:sz w:val="24"/>
        </w:rPr>
        <w:t>I</w:t>
      </w:r>
      <w:r w:rsidRPr="00124F23">
        <w:rPr>
          <w:rFonts w:ascii="Times New Roman" w:hAnsi="Times New Roman"/>
          <w:sz w:val="24"/>
        </w:rPr>
        <w:t>Z enjoy</w:t>
      </w:r>
      <w:r>
        <w:rPr>
          <w:rFonts w:ascii="Times New Roman" w:hAnsi="Times New Roman"/>
          <w:sz w:val="24"/>
        </w:rPr>
        <w:t>ed</w:t>
      </w:r>
      <w:r w:rsidRPr="00124F23">
        <w:rPr>
          <w:rFonts w:ascii="Times New Roman" w:hAnsi="Times New Roman"/>
          <w:sz w:val="24"/>
        </w:rPr>
        <w:t xml:space="preserve"> various customs and fiscal exemptions and reliefs, as well as state subsidies for covering the costs for building plants, free construction licenses and free connection to water and gas pipe infrastructu</w:t>
      </w:r>
      <w:r>
        <w:rPr>
          <w:rFonts w:ascii="Times New Roman" w:hAnsi="Times New Roman"/>
          <w:sz w:val="24"/>
        </w:rPr>
        <w:t>re. The government also was due to provide</w:t>
      </w:r>
      <w:r w:rsidRPr="00124F23">
        <w:rPr>
          <w:rFonts w:ascii="Times New Roman" w:hAnsi="Times New Roman"/>
          <w:sz w:val="24"/>
        </w:rPr>
        <w:t xml:space="preserve"> subsidies for creation of</w:t>
      </w:r>
      <w:r>
        <w:rPr>
          <w:rFonts w:ascii="Times New Roman" w:hAnsi="Times New Roman"/>
          <w:sz w:val="24"/>
        </w:rPr>
        <w:t xml:space="preserve"> new working posts within the T</w:t>
      </w:r>
      <w:r w:rsidRPr="00124F23">
        <w:rPr>
          <w:rFonts w:ascii="Times New Roman" w:hAnsi="Times New Roman"/>
          <w:sz w:val="24"/>
        </w:rPr>
        <w:t>D</w:t>
      </w:r>
      <w:r>
        <w:rPr>
          <w:rFonts w:ascii="Times New Roman" w:hAnsi="Times New Roman"/>
          <w:sz w:val="24"/>
        </w:rPr>
        <w:t>I</w:t>
      </w:r>
      <w:r w:rsidRPr="00124F23">
        <w:rPr>
          <w:rFonts w:ascii="Times New Roman" w:hAnsi="Times New Roman"/>
          <w:sz w:val="24"/>
        </w:rPr>
        <w:t xml:space="preserve">Z, for covering costs of employees’ trainings, as well as exemptions from the employees’ personal tax </w:t>
      </w:r>
      <w:r>
        <w:rPr>
          <w:rFonts w:ascii="Times New Roman" w:hAnsi="Times New Roman"/>
          <w:sz w:val="24"/>
        </w:rPr>
        <w:t xml:space="preserve">and </w:t>
      </w:r>
      <w:r w:rsidRPr="00124F23">
        <w:rPr>
          <w:rFonts w:ascii="Times New Roman" w:hAnsi="Times New Roman"/>
          <w:sz w:val="24"/>
        </w:rPr>
        <w:t>from the payment of the corporate income tax. The most important incentives that the government p</w:t>
      </w:r>
      <w:r>
        <w:rPr>
          <w:rFonts w:ascii="Times New Roman" w:hAnsi="Times New Roman"/>
          <w:sz w:val="24"/>
        </w:rPr>
        <w:t>rovided for foreign investors in T</w:t>
      </w:r>
      <w:r w:rsidRPr="00124F23">
        <w:rPr>
          <w:rFonts w:ascii="Times New Roman" w:hAnsi="Times New Roman"/>
          <w:sz w:val="24"/>
        </w:rPr>
        <w:t>D</w:t>
      </w:r>
      <w:r>
        <w:rPr>
          <w:rFonts w:ascii="Times New Roman" w:hAnsi="Times New Roman"/>
          <w:sz w:val="24"/>
        </w:rPr>
        <w:t>I</w:t>
      </w:r>
      <w:r w:rsidRPr="00124F23">
        <w:rPr>
          <w:rFonts w:ascii="Times New Roman" w:hAnsi="Times New Roman"/>
          <w:sz w:val="24"/>
        </w:rPr>
        <w:t>Z are presented in Table 1.</w:t>
      </w:r>
    </w:p>
    <w:p w:rsidR="00FE48A6" w:rsidRDefault="00FE48A6" w:rsidP="00154EE6">
      <w:pPr>
        <w:autoSpaceDE w:val="0"/>
        <w:autoSpaceDN w:val="0"/>
        <w:adjustRightInd w:val="0"/>
        <w:spacing w:after="0"/>
        <w:ind w:right="44"/>
        <w:rPr>
          <w:rFonts w:ascii="Times New Roman" w:hAnsi="Times New Roman"/>
          <w:sz w:val="24"/>
        </w:rPr>
      </w:pPr>
    </w:p>
    <w:p w:rsidR="00FE48A6" w:rsidRPr="007609FF" w:rsidRDefault="00FE48A6" w:rsidP="008E5660">
      <w:pPr>
        <w:autoSpaceDE w:val="0"/>
        <w:autoSpaceDN w:val="0"/>
        <w:adjustRightInd w:val="0"/>
        <w:spacing w:after="0"/>
        <w:ind w:left="900" w:right="44"/>
        <w:rPr>
          <w:rFonts w:ascii="Times New Roman" w:hAnsi="Times New Roman"/>
          <w:sz w:val="24"/>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6086"/>
      </w:tblGrid>
      <w:tr w:rsidR="00FE48A6" w:rsidRPr="00124F23" w:rsidTr="00154EE6">
        <w:tc>
          <w:tcPr>
            <w:tcW w:w="2374" w:type="dxa"/>
          </w:tcPr>
          <w:p w:rsidR="00FE48A6" w:rsidRPr="00124F23" w:rsidRDefault="00FE48A6" w:rsidP="00154EE6">
            <w:pPr>
              <w:autoSpaceDE w:val="0"/>
              <w:autoSpaceDN w:val="0"/>
              <w:adjustRightInd w:val="0"/>
              <w:spacing w:after="0"/>
              <w:ind w:right="44"/>
              <w:rPr>
                <w:rFonts w:ascii="Times New Roman" w:hAnsi="Times New Roman"/>
                <w:b/>
                <w:bCs/>
                <w:sz w:val="24"/>
              </w:rPr>
            </w:pPr>
            <w:r w:rsidRPr="00124F23">
              <w:rPr>
                <w:rFonts w:ascii="Times New Roman" w:hAnsi="Times New Roman"/>
                <w:b/>
                <w:bCs/>
                <w:sz w:val="24"/>
              </w:rPr>
              <w:t xml:space="preserve">Incentives in </w:t>
            </w:r>
          </w:p>
          <w:p w:rsidR="00FE48A6" w:rsidRPr="00124F23" w:rsidRDefault="00FE48A6" w:rsidP="00154EE6">
            <w:pPr>
              <w:autoSpaceDE w:val="0"/>
              <w:autoSpaceDN w:val="0"/>
              <w:adjustRightInd w:val="0"/>
              <w:spacing w:after="0"/>
              <w:ind w:right="44"/>
              <w:rPr>
                <w:rFonts w:ascii="Times New Roman" w:hAnsi="Times New Roman"/>
                <w:b/>
                <w:bCs/>
                <w:sz w:val="24"/>
              </w:rPr>
            </w:pPr>
            <w:r w:rsidRPr="00124F23">
              <w:rPr>
                <w:rFonts w:ascii="Times New Roman" w:hAnsi="Times New Roman"/>
                <w:b/>
                <w:bCs/>
                <w:sz w:val="24"/>
              </w:rPr>
              <w:t>infrastructure:</w:t>
            </w:r>
          </w:p>
        </w:tc>
        <w:tc>
          <w:tcPr>
            <w:tcW w:w="6086" w:type="dxa"/>
          </w:tcPr>
          <w:p w:rsidR="00FE48A6" w:rsidRPr="00124F23" w:rsidRDefault="00FE48A6" w:rsidP="00154EE6">
            <w:pPr>
              <w:numPr>
                <w:ilvl w:val="0"/>
                <w:numId w:val="4"/>
              </w:numPr>
              <w:autoSpaceDE w:val="0"/>
              <w:autoSpaceDN w:val="0"/>
              <w:adjustRightInd w:val="0"/>
              <w:spacing w:after="0"/>
              <w:ind w:left="218" w:right="44" w:firstLine="0"/>
              <w:rPr>
                <w:rFonts w:ascii="Times New Roman" w:hAnsi="Times New Roman"/>
                <w:bCs/>
                <w:sz w:val="24"/>
              </w:rPr>
            </w:pPr>
            <w:r w:rsidRPr="00124F23">
              <w:rPr>
                <w:rFonts w:ascii="Times New Roman" w:hAnsi="Times New Roman"/>
                <w:bCs/>
                <w:sz w:val="24"/>
              </w:rPr>
              <w:t>Providing construction land for the new plants under a 99 year concession;</w:t>
            </w:r>
          </w:p>
          <w:p w:rsidR="00FE48A6" w:rsidRPr="00124F23" w:rsidRDefault="00FE48A6" w:rsidP="00154EE6">
            <w:pPr>
              <w:numPr>
                <w:ilvl w:val="0"/>
                <w:numId w:val="4"/>
              </w:numPr>
              <w:tabs>
                <w:tab w:val="clear" w:pos="720"/>
              </w:tabs>
              <w:autoSpaceDE w:val="0"/>
              <w:autoSpaceDN w:val="0"/>
              <w:adjustRightInd w:val="0"/>
              <w:spacing w:after="0"/>
              <w:ind w:left="218" w:right="44" w:firstLine="0"/>
              <w:rPr>
                <w:rFonts w:ascii="Times New Roman" w:hAnsi="Times New Roman"/>
                <w:bCs/>
                <w:sz w:val="24"/>
              </w:rPr>
            </w:pPr>
            <w:r w:rsidRPr="00124F23">
              <w:rPr>
                <w:rFonts w:ascii="Times New Roman" w:hAnsi="Times New Roman"/>
                <w:bCs/>
                <w:sz w:val="24"/>
              </w:rPr>
              <w:t>Free connection to the water and gas pipe infrastructure,  free preparation of the construction land and free construction licenses;</w:t>
            </w:r>
          </w:p>
          <w:p w:rsidR="00FE48A6" w:rsidRPr="00124F23" w:rsidRDefault="00FE48A6" w:rsidP="00154EE6">
            <w:pPr>
              <w:numPr>
                <w:ilvl w:val="0"/>
                <w:numId w:val="4"/>
              </w:numPr>
              <w:autoSpaceDE w:val="0"/>
              <w:autoSpaceDN w:val="0"/>
              <w:adjustRightInd w:val="0"/>
              <w:spacing w:after="0"/>
              <w:ind w:left="218" w:right="44" w:firstLine="0"/>
              <w:rPr>
                <w:rFonts w:ascii="Times New Roman" w:hAnsi="Times New Roman"/>
                <w:bCs/>
                <w:sz w:val="24"/>
              </w:rPr>
            </w:pPr>
            <w:r w:rsidRPr="00124F23">
              <w:rPr>
                <w:rFonts w:ascii="Times New Roman" w:hAnsi="Times New Roman"/>
                <w:bCs/>
                <w:sz w:val="24"/>
              </w:rPr>
              <w:t>Government participation in covering the building costs of new plants up to 500.000 Euro;</w:t>
            </w:r>
          </w:p>
          <w:p w:rsidR="00FE48A6" w:rsidRPr="00124F23" w:rsidRDefault="00FE48A6" w:rsidP="00154EE6">
            <w:pPr>
              <w:numPr>
                <w:ilvl w:val="0"/>
                <w:numId w:val="4"/>
              </w:numPr>
              <w:autoSpaceDE w:val="0"/>
              <w:autoSpaceDN w:val="0"/>
              <w:adjustRightInd w:val="0"/>
              <w:spacing w:after="0"/>
              <w:ind w:left="218" w:right="44" w:firstLine="0"/>
              <w:rPr>
                <w:rFonts w:ascii="Times New Roman" w:hAnsi="Times New Roman"/>
                <w:bCs/>
                <w:sz w:val="24"/>
              </w:rPr>
            </w:pPr>
            <w:r w:rsidRPr="00124F23">
              <w:rPr>
                <w:rFonts w:ascii="Times New Roman" w:hAnsi="Times New Roman"/>
                <w:bCs/>
                <w:sz w:val="24"/>
              </w:rPr>
              <w:t>Tax exemptions for a 10-year period;</w:t>
            </w:r>
          </w:p>
          <w:p w:rsidR="00FE48A6" w:rsidRPr="00124F23" w:rsidRDefault="00FE48A6" w:rsidP="00154EE6">
            <w:pPr>
              <w:numPr>
                <w:ilvl w:val="0"/>
                <w:numId w:val="4"/>
              </w:numPr>
              <w:autoSpaceDE w:val="0"/>
              <w:autoSpaceDN w:val="0"/>
              <w:adjustRightInd w:val="0"/>
              <w:spacing w:after="0"/>
              <w:ind w:left="218" w:right="44" w:firstLine="0"/>
              <w:rPr>
                <w:rFonts w:ascii="Times New Roman" w:hAnsi="Times New Roman"/>
                <w:bCs/>
                <w:sz w:val="24"/>
              </w:rPr>
            </w:pPr>
            <w:r w:rsidRPr="00124F23">
              <w:rPr>
                <w:rFonts w:ascii="Times New Roman" w:hAnsi="Times New Roman"/>
                <w:bCs/>
                <w:sz w:val="24"/>
              </w:rPr>
              <w:t>0% of VAT;</w:t>
            </w:r>
          </w:p>
          <w:p w:rsidR="00FE48A6" w:rsidRPr="00124F23" w:rsidRDefault="00FE48A6" w:rsidP="00154EE6">
            <w:pPr>
              <w:numPr>
                <w:ilvl w:val="0"/>
                <w:numId w:val="4"/>
              </w:numPr>
              <w:autoSpaceDE w:val="0"/>
              <w:autoSpaceDN w:val="0"/>
              <w:adjustRightInd w:val="0"/>
              <w:spacing w:after="0"/>
              <w:ind w:left="218" w:right="44" w:firstLine="0"/>
              <w:rPr>
                <w:rFonts w:ascii="Times New Roman" w:hAnsi="Times New Roman"/>
                <w:bCs/>
                <w:sz w:val="24"/>
              </w:rPr>
            </w:pPr>
            <w:r w:rsidRPr="00124F23">
              <w:rPr>
                <w:rFonts w:ascii="Times New Roman" w:hAnsi="Times New Roman"/>
                <w:bCs/>
                <w:sz w:val="24"/>
              </w:rPr>
              <w:t>0% of Income Tax;</w:t>
            </w:r>
          </w:p>
          <w:p w:rsidR="00FE48A6" w:rsidRPr="00124F23" w:rsidRDefault="00FE48A6" w:rsidP="00154EE6">
            <w:pPr>
              <w:numPr>
                <w:ilvl w:val="0"/>
                <w:numId w:val="4"/>
              </w:numPr>
              <w:autoSpaceDE w:val="0"/>
              <w:autoSpaceDN w:val="0"/>
              <w:adjustRightInd w:val="0"/>
              <w:spacing w:after="0"/>
              <w:ind w:left="218" w:right="44" w:firstLine="0"/>
              <w:rPr>
                <w:rFonts w:ascii="Times New Roman" w:hAnsi="Times New Roman"/>
                <w:bCs/>
                <w:sz w:val="24"/>
              </w:rPr>
            </w:pPr>
            <w:r w:rsidRPr="00124F23">
              <w:rPr>
                <w:rFonts w:ascii="Times New Roman" w:hAnsi="Times New Roman"/>
                <w:bCs/>
                <w:sz w:val="24"/>
              </w:rPr>
              <w:t>0% of Personal Tax.</w:t>
            </w:r>
          </w:p>
        </w:tc>
      </w:tr>
      <w:tr w:rsidR="00FE48A6" w:rsidRPr="00124F23" w:rsidTr="00154EE6">
        <w:tc>
          <w:tcPr>
            <w:tcW w:w="2374" w:type="dxa"/>
          </w:tcPr>
          <w:p w:rsidR="00FE48A6" w:rsidRPr="00124F23" w:rsidRDefault="00FE48A6" w:rsidP="00154EE6">
            <w:pPr>
              <w:autoSpaceDE w:val="0"/>
              <w:autoSpaceDN w:val="0"/>
              <w:adjustRightInd w:val="0"/>
              <w:spacing w:after="0"/>
              <w:ind w:right="44"/>
              <w:rPr>
                <w:rFonts w:ascii="Times New Roman" w:hAnsi="Times New Roman"/>
                <w:b/>
                <w:bCs/>
                <w:sz w:val="24"/>
              </w:rPr>
            </w:pPr>
            <w:r w:rsidRPr="00124F23">
              <w:rPr>
                <w:rFonts w:ascii="Times New Roman" w:hAnsi="Times New Roman"/>
                <w:b/>
                <w:bCs/>
                <w:sz w:val="24"/>
              </w:rPr>
              <w:t>State subventions in</w:t>
            </w:r>
          </w:p>
          <w:p w:rsidR="00FE48A6" w:rsidRPr="00124F23" w:rsidRDefault="00FE48A6" w:rsidP="00154EE6">
            <w:pPr>
              <w:autoSpaceDE w:val="0"/>
              <w:autoSpaceDN w:val="0"/>
              <w:adjustRightInd w:val="0"/>
              <w:spacing w:after="0"/>
              <w:ind w:right="44"/>
              <w:rPr>
                <w:rFonts w:ascii="Times New Roman" w:hAnsi="Times New Roman"/>
                <w:b/>
                <w:bCs/>
                <w:sz w:val="24"/>
              </w:rPr>
            </w:pPr>
            <w:r w:rsidRPr="00124F23">
              <w:rPr>
                <w:rFonts w:ascii="Times New Roman" w:hAnsi="Times New Roman"/>
                <w:b/>
                <w:bCs/>
                <w:sz w:val="24"/>
              </w:rPr>
              <w:t>cash:</w:t>
            </w:r>
          </w:p>
        </w:tc>
        <w:tc>
          <w:tcPr>
            <w:tcW w:w="6086" w:type="dxa"/>
          </w:tcPr>
          <w:p w:rsidR="00FE48A6" w:rsidRPr="00124F23" w:rsidRDefault="00FE48A6" w:rsidP="00154EE6">
            <w:pPr>
              <w:numPr>
                <w:ilvl w:val="0"/>
                <w:numId w:val="4"/>
              </w:numPr>
              <w:autoSpaceDE w:val="0"/>
              <w:autoSpaceDN w:val="0"/>
              <w:adjustRightInd w:val="0"/>
              <w:spacing w:after="0"/>
              <w:ind w:left="218" w:right="44" w:firstLine="0"/>
              <w:rPr>
                <w:rFonts w:ascii="Times New Roman" w:hAnsi="Times New Roman"/>
                <w:bCs/>
                <w:sz w:val="24"/>
              </w:rPr>
            </w:pPr>
            <w:r w:rsidRPr="00124F23">
              <w:rPr>
                <w:rFonts w:ascii="Times New Roman" w:hAnsi="Times New Roman"/>
                <w:bCs/>
                <w:sz w:val="24"/>
              </w:rPr>
              <w:t>Subsidies on creating of new working posts;</w:t>
            </w:r>
          </w:p>
          <w:p w:rsidR="00FE48A6" w:rsidRPr="00124F23" w:rsidRDefault="00FE48A6" w:rsidP="00154EE6">
            <w:pPr>
              <w:numPr>
                <w:ilvl w:val="0"/>
                <w:numId w:val="4"/>
              </w:numPr>
              <w:autoSpaceDE w:val="0"/>
              <w:autoSpaceDN w:val="0"/>
              <w:adjustRightInd w:val="0"/>
              <w:spacing w:after="0"/>
              <w:ind w:left="218" w:right="44" w:firstLine="0"/>
              <w:rPr>
                <w:rFonts w:ascii="Times New Roman" w:hAnsi="Times New Roman"/>
                <w:bCs/>
                <w:sz w:val="24"/>
              </w:rPr>
            </w:pPr>
            <w:r w:rsidRPr="00124F23">
              <w:rPr>
                <w:rFonts w:ascii="Times New Roman" w:hAnsi="Times New Roman"/>
                <w:bCs/>
                <w:sz w:val="24"/>
              </w:rPr>
              <w:t>Subsidies on the payment of the corporate income tax;</w:t>
            </w:r>
          </w:p>
          <w:p w:rsidR="00FE48A6" w:rsidRPr="00124F23" w:rsidRDefault="00FE48A6" w:rsidP="00154EE6">
            <w:pPr>
              <w:numPr>
                <w:ilvl w:val="0"/>
                <w:numId w:val="4"/>
              </w:numPr>
              <w:autoSpaceDE w:val="0"/>
              <w:autoSpaceDN w:val="0"/>
              <w:adjustRightInd w:val="0"/>
              <w:spacing w:after="0"/>
              <w:ind w:left="218" w:right="44" w:firstLine="0"/>
              <w:rPr>
                <w:rFonts w:ascii="Times New Roman" w:hAnsi="Times New Roman"/>
                <w:bCs/>
                <w:sz w:val="24"/>
              </w:rPr>
            </w:pPr>
            <w:r w:rsidRPr="00124F23">
              <w:rPr>
                <w:rFonts w:ascii="Times New Roman" w:hAnsi="Times New Roman"/>
                <w:bCs/>
                <w:sz w:val="24"/>
              </w:rPr>
              <w:t>Subsidies on the employees’ personal tax;</w:t>
            </w:r>
          </w:p>
          <w:p w:rsidR="00FE48A6" w:rsidRPr="00124F23" w:rsidRDefault="00FE48A6" w:rsidP="00154EE6">
            <w:pPr>
              <w:numPr>
                <w:ilvl w:val="0"/>
                <w:numId w:val="4"/>
              </w:numPr>
              <w:autoSpaceDE w:val="0"/>
              <w:autoSpaceDN w:val="0"/>
              <w:adjustRightInd w:val="0"/>
              <w:spacing w:after="0"/>
              <w:ind w:left="218" w:right="44" w:firstLine="0"/>
              <w:rPr>
                <w:rFonts w:ascii="Times New Roman" w:hAnsi="Times New Roman"/>
                <w:bCs/>
                <w:sz w:val="24"/>
              </w:rPr>
            </w:pPr>
            <w:r w:rsidRPr="00124F23">
              <w:rPr>
                <w:rFonts w:ascii="Times New Roman" w:hAnsi="Times New Roman"/>
                <w:bCs/>
                <w:sz w:val="24"/>
              </w:rPr>
              <w:t>Subsidies on costs for employees’ trainings.</w:t>
            </w:r>
          </w:p>
        </w:tc>
      </w:tr>
    </w:tbl>
    <w:p w:rsidR="00FE48A6" w:rsidRDefault="00FE48A6" w:rsidP="008E5660">
      <w:pPr>
        <w:autoSpaceDE w:val="0"/>
        <w:autoSpaceDN w:val="0"/>
        <w:adjustRightInd w:val="0"/>
        <w:spacing w:after="0"/>
        <w:ind w:left="900" w:right="44"/>
        <w:jc w:val="center"/>
        <w:rPr>
          <w:rFonts w:ascii="Times New Roman" w:hAnsi="Times New Roman"/>
          <w:bCs/>
          <w:sz w:val="24"/>
        </w:rPr>
      </w:pPr>
      <w:r w:rsidRPr="007609FF">
        <w:rPr>
          <w:rFonts w:ascii="Times New Roman" w:hAnsi="Times New Roman"/>
          <w:bCs/>
          <w:sz w:val="24"/>
        </w:rPr>
        <w:t>Table 1: Government incentives for</w:t>
      </w:r>
      <w:r>
        <w:rPr>
          <w:rFonts w:ascii="Times New Roman" w:hAnsi="Times New Roman"/>
          <w:bCs/>
          <w:sz w:val="24"/>
        </w:rPr>
        <w:t xml:space="preserve"> foreign investors within the T</w:t>
      </w:r>
      <w:r w:rsidRPr="007609FF">
        <w:rPr>
          <w:rFonts w:ascii="Times New Roman" w:hAnsi="Times New Roman"/>
          <w:bCs/>
          <w:sz w:val="24"/>
        </w:rPr>
        <w:t>D</w:t>
      </w:r>
      <w:r>
        <w:rPr>
          <w:rFonts w:ascii="Times New Roman" w:hAnsi="Times New Roman"/>
          <w:bCs/>
          <w:sz w:val="24"/>
        </w:rPr>
        <w:t>I</w:t>
      </w:r>
      <w:r w:rsidRPr="007609FF">
        <w:rPr>
          <w:rFonts w:ascii="Times New Roman" w:hAnsi="Times New Roman"/>
          <w:bCs/>
          <w:sz w:val="24"/>
        </w:rPr>
        <w:t>Z since 2008</w:t>
      </w:r>
    </w:p>
    <w:p w:rsidR="00FE48A6" w:rsidRDefault="00FE48A6" w:rsidP="008E5660">
      <w:pPr>
        <w:pStyle w:val="FootnoteText"/>
        <w:tabs>
          <w:tab w:val="left" w:pos="8640"/>
        </w:tabs>
        <w:ind w:left="900" w:right="44"/>
        <w:rPr>
          <w:rFonts w:ascii="Times New Roman" w:hAnsi="Times New Roman"/>
          <w:i/>
          <w:color w:val="FF0000"/>
          <w:sz w:val="24"/>
          <w:szCs w:val="24"/>
        </w:rPr>
      </w:pPr>
      <w:r w:rsidRPr="00124F23">
        <w:rPr>
          <w:rFonts w:ascii="Times New Roman" w:hAnsi="Times New Roman"/>
          <w:bCs/>
          <w:sz w:val="24"/>
          <w:szCs w:val="24"/>
        </w:rPr>
        <w:t>Source</w:t>
      </w:r>
      <w:r w:rsidRPr="00124F23">
        <w:rPr>
          <w:rFonts w:ascii="Times New Roman" w:hAnsi="Times New Roman"/>
          <w:bCs/>
          <w:color w:val="FF0000"/>
          <w:sz w:val="24"/>
          <w:szCs w:val="24"/>
        </w:rPr>
        <w:t xml:space="preserve">: </w:t>
      </w:r>
      <w:r w:rsidRPr="00124F23">
        <w:rPr>
          <w:rFonts w:ascii="Times New Roman" w:hAnsi="Times New Roman"/>
          <w:bCs/>
          <w:sz w:val="24"/>
          <w:szCs w:val="24"/>
        </w:rPr>
        <w:t xml:space="preserve">According to </w:t>
      </w:r>
      <w:r w:rsidRPr="00124F23">
        <w:rPr>
          <w:rFonts w:ascii="Times New Roman" w:hAnsi="Times New Roman"/>
          <w:i/>
          <w:sz w:val="24"/>
          <w:szCs w:val="24"/>
        </w:rPr>
        <w:t>Official Gazette of the R</w:t>
      </w:r>
      <w:r>
        <w:rPr>
          <w:rFonts w:ascii="Times New Roman" w:hAnsi="Times New Roman"/>
          <w:i/>
          <w:sz w:val="24"/>
          <w:szCs w:val="24"/>
        </w:rPr>
        <w:t>epublic of Macedonia. No. 82/08,</w:t>
      </w:r>
      <w:r w:rsidRPr="00124F23">
        <w:rPr>
          <w:rFonts w:ascii="Times New Roman" w:hAnsi="Times New Roman"/>
          <w:i/>
          <w:sz w:val="24"/>
          <w:szCs w:val="24"/>
        </w:rPr>
        <w:t xml:space="preserve"> </w:t>
      </w:r>
      <w:r w:rsidRPr="00782911">
        <w:rPr>
          <w:rFonts w:ascii="Times New Roman" w:hAnsi="Times New Roman"/>
          <w:i/>
          <w:color w:val="FF0000"/>
          <w:sz w:val="24"/>
          <w:szCs w:val="24"/>
        </w:rPr>
        <w:t xml:space="preserve">2008, p. </w:t>
      </w:r>
    </w:p>
    <w:p w:rsidR="00FE48A6" w:rsidRPr="0097564D" w:rsidRDefault="00FE48A6" w:rsidP="008E5660">
      <w:pPr>
        <w:autoSpaceDE w:val="0"/>
        <w:autoSpaceDN w:val="0"/>
        <w:adjustRightInd w:val="0"/>
        <w:spacing w:after="0"/>
        <w:ind w:left="900" w:right="44"/>
        <w:jc w:val="center"/>
        <w:rPr>
          <w:rFonts w:ascii="Times New Roman" w:hAnsi="Times New Roman"/>
          <w:sz w:val="24"/>
        </w:rPr>
      </w:pPr>
    </w:p>
    <w:p w:rsidR="00FE48A6" w:rsidRPr="00614CDB" w:rsidRDefault="00FE48A6" w:rsidP="008E5660">
      <w:pPr>
        <w:pStyle w:val="FootnoteText"/>
        <w:tabs>
          <w:tab w:val="left" w:pos="8640"/>
        </w:tabs>
        <w:ind w:left="900" w:right="44"/>
        <w:rPr>
          <w:rFonts w:ascii="Times New Roman" w:hAnsi="Times New Roman"/>
          <w:sz w:val="24"/>
          <w:szCs w:val="24"/>
        </w:rPr>
      </w:pPr>
      <w:r w:rsidRPr="00782911">
        <w:rPr>
          <w:rFonts w:ascii="Times New Roman" w:hAnsi="Times New Roman"/>
          <w:sz w:val="24"/>
          <w:szCs w:val="24"/>
        </w:rPr>
        <w:t>The abundant incentives for foreign inves</w:t>
      </w:r>
      <w:r>
        <w:rPr>
          <w:rFonts w:ascii="Times New Roman" w:hAnsi="Times New Roman"/>
          <w:sz w:val="24"/>
          <w:szCs w:val="24"/>
        </w:rPr>
        <w:t>tors provided with the Law on T</w:t>
      </w:r>
      <w:r w:rsidRPr="00782911">
        <w:rPr>
          <w:rFonts w:ascii="Times New Roman" w:hAnsi="Times New Roman"/>
          <w:sz w:val="24"/>
          <w:szCs w:val="24"/>
        </w:rPr>
        <w:t>D</w:t>
      </w:r>
      <w:r>
        <w:rPr>
          <w:rFonts w:ascii="Times New Roman" w:hAnsi="Times New Roman"/>
          <w:sz w:val="24"/>
          <w:szCs w:val="24"/>
        </w:rPr>
        <w:t>I</w:t>
      </w:r>
      <w:r w:rsidRPr="00782911">
        <w:rPr>
          <w:rFonts w:ascii="Times New Roman" w:hAnsi="Times New Roman"/>
          <w:sz w:val="24"/>
          <w:szCs w:val="24"/>
        </w:rPr>
        <w:t>Z</w:t>
      </w:r>
      <w:r>
        <w:rPr>
          <w:rFonts w:ascii="Times New Roman" w:hAnsi="Times New Roman"/>
          <w:sz w:val="24"/>
          <w:szCs w:val="24"/>
        </w:rPr>
        <w:t xml:space="preserve"> significantly changed the perception of the foreign companies of the business climate in the country. </w:t>
      </w:r>
      <w:r>
        <w:rPr>
          <w:rFonts w:ascii="Times New Roman" w:hAnsi="Times New Roman"/>
          <w:sz w:val="24"/>
        </w:rPr>
        <w:t>Nevertheless, the inflow of FDI did not experience any improvements. On a contrary, right after passing the Law on TDIZ and due to</w:t>
      </w:r>
      <w:r w:rsidRPr="00124F23">
        <w:rPr>
          <w:rFonts w:ascii="Times New Roman" w:hAnsi="Times New Roman"/>
          <w:sz w:val="24"/>
        </w:rPr>
        <w:t xml:space="preserve"> the economic crises in the EU</w:t>
      </w:r>
      <w:r>
        <w:rPr>
          <w:rFonts w:ascii="Times New Roman" w:hAnsi="Times New Roman"/>
          <w:sz w:val="24"/>
        </w:rPr>
        <w:t xml:space="preserve"> back in 2009-2010</w:t>
      </w:r>
      <w:r w:rsidRPr="00124F23">
        <w:rPr>
          <w:rFonts w:ascii="Times New Roman" w:hAnsi="Times New Roman"/>
          <w:sz w:val="24"/>
        </w:rPr>
        <w:t xml:space="preserve">, foreign investors started to withdraw money in the form of loans from their affiliations in the country. At the same time the amount of reinvested profit in the economy decreased substantially. Therefore, the amounts of outflow of capital </w:t>
      </w:r>
      <w:r>
        <w:rPr>
          <w:rFonts w:ascii="Times New Roman" w:hAnsi="Times New Roman"/>
          <w:sz w:val="24"/>
        </w:rPr>
        <w:t xml:space="preserve">overcame </w:t>
      </w:r>
      <w:r w:rsidRPr="00124F23">
        <w:rPr>
          <w:rFonts w:ascii="Times New Roman" w:hAnsi="Times New Roman"/>
          <w:sz w:val="24"/>
        </w:rPr>
        <w:t>the inflows of capital in the economy</w:t>
      </w:r>
      <w:r>
        <w:rPr>
          <w:rFonts w:ascii="Times New Roman" w:hAnsi="Times New Roman"/>
          <w:sz w:val="24"/>
        </w:rPr>
        <w:t>. [8]</w:t>
      </w:r>
    </w:p>
    <w:p w:rsidR="00FE48A6" w:rsidRDefault="00FE48A6" w:rsidP="008E5660">
      <w:pPr>
        <w:spacing w:after="0"/>
        <w:ind w:left="900"/>
        <w:rPr>
          <w:rFonts w:ascii="Times New Roman" w:hAnsi="Times New Roman"/>
          <w:sz w:val="24"/>
        </w:rPr>
      </w:pPr>
    </w:p>
    <w:p w:rsidR="00FE48A6" w:rsidRDefault="00FE48A6" w:rsidP="008E5660">
      <w:pPr>
        <w:autoSpaceDE w:val="0"/>
        <w:autoSpaceDN w:val="0"/>
        <w:adjustRightInd w:val="0"/>
        <w:spacing w:after="0"/>
        <w:ind w:left="900"/>
        <w:rPr>
          <w:rFonts w:ascii="Times New Roman" w:hAnsi="Times New Roman"/>
          <w:bCs/>
          <w:sz w:val="24"/>
        </w:rPr>
      </w:pPr>
      <w:r>
        <w:rPr>
          <w:rFonts w:ascii="Times New Roman" w:hAnsi="Times New Roman"/>
          <w:bCs/>
          <w:sz w:val="24"/>
        </w:rPr>
        <w:t>In the period since 2011</w:t>
      </w:r>
      <w:r w:rsidRPr="00124F23">
        <w:rPr>
          <w:rFonts w:ascii="Times New Roman" w:hAnsi="Times New Roman"/>
          <w:bCs/>
          <w:sz w:val="24"/>
        </w:rPr>
        <w:t xml:space="preserve"> investment in the </w:t>
      </w:r>
      <w:r>
        <w:rPr>
          <w:rFonts w:ascii="Times New Roman" w:hAnsi="Times New Roman"/>
          <w:bCs/>
          <w:sz w:val="24"/>
        </w:rPr>
        <w:t>T</w:t>
      </w:r>
      <w:r w:rsidRPr="00124F23">
        <w:rPr>
          <w:rFonts w:ascii="Times New Roman" w:hAnsi="Times New Roman"/>
          <w:bCs/>
          <w:sz w:val="24"/>
        </w:rPr>
        <w:t>D</w:t>
      </w:r>
      <w:r>
        <w:rPr>
          <w:rFonts w:ascii="Times New Roman" w:hAnsi="Times New Roman"/>
          <w:bCs/>
          <w:sz w:val="24"/>
        </w:rPr>
        <w:t>I</w:t>
      </w:r>
      <w:r w:rsidRPr="00124F23">
        <w:rPr>
          <w:rFonts w:ascii="Times New Roman" w:hAnsi="Times New Roman"/>
          <w:bCs/>
          <w:sz w:val="24"/>
        </w:rPr>
        <w:t>Z</w:t>
      </w:r>
      <w:r>
        <w:rPr>
          <w:rFonts w:ascii="Times New Roman" w:hAnsi="Times New Roman"/>
          <w:bCs/>
          <w:sz w:val="24"/>
        </w:rPr>
        <w:t xml:space="preserve"> intensified which resulted in strengthening</w:t>
      </w:r>
      <w:r w:rsidRPr="00124F23">
        <w:rPr>
          <w:rFonts w:ascii="Times New Roman" w:hAnsi="Times New Roman"/>
          <w:bCs/>
          <w:sz w:val="24"/>
        </w:rPr>
        <w:t xml:space="preserve"> </w:t>
      </w:r>
      <w:r>
        <w:rPr>
          <w:rFonts w:ascii="Times New Roman" w:hAnsi="Times New Roman"/>
          <w:bCs/>
          <w:sz w:val="24"/>
        </w:rPr>
        <w:t xml:space="preserve">of </w:t>
      </w:r>
      <w:r w:rsidRPr="00124F23">
        <w:rPr>
          <w:rFonts w:ascii="Times New Roman" w:hAnsi="Times New Roman"/>
          <w:bCs/>
          <w:sz w:val="24"/>
        </w:rPr>
        <w:t>the position of the manufacturing sector, and within it</w:t>
      </w:r>
      <w:r>
        <w:rPr>
          <w:rFonts w:ascii="Times New Roman" w:hAnsi="Times New Roman"/>
          <w:bCs/>
          <w:sz w:val="24"/>
        </w:rPr>
        <w:t>,</w:t>
      </w:r>
      <w:r w:rsidRPr="00124F23">
        <w:rPr>
          <w:rFonts w:ascii="Times New Roman" w:hAnsi="Times New Roman"/>
          <w:bCs/>
          <w:sz w:val="24"/>
        </w:rPr>
        <w:t xml:space="preserve"> the position of the chemical industry. Other important manufacturing sub-sectors in the country </w:t>
      </w:r>
      <w:r>
        <w:rPr>
          <w:rFonts w:ascii="Times New Roman" w:hAnsi="Times New Roman"/>
          <w:bCs/>
          <w:sz w:val="24"/>
        </w:rPr>
        <w:t>that attracted additional foreign investment happened to be</w:t>
      </w:r>
      <w:r w:rsidRPr="00124F23">
        <w:rPr>
          <w:rFonts w:ascii="Times New Roman" w:hAnsi="Times New Roman"/>
          <w:bCs/>
          <w:sz w:val="24"/>
        </w:rPr>
        <w:t xml:space="preserve"> </w:t>
      </w:r>
      <w:r w:rsidRPr="00124F23">
        <w:rPr>
          <w:rFonts w:ascii="Times New Roman" w:hAnsi="Times New Roman"/>
          <w:sz w:val="24"/>
        </w:rPr>
        <w:t xml:space="preserve">basic metals and fabricated metal products, food products, beverages and tobacco products, as well as </w:t>
      </w:r>
      <w:r w:rsidRPr="00124F23">
        <w:rPr>
          <w:rFonts w:ascii="Times New Roman" w:hAnsi="Times New Roman"/>
          <w:bCs/>
          <w:sz w:val="24"/>
        </w:rPr>
        <w:t xml:space="preserve">motor </w:t>
      </w:r>
      <w:r w:rsidRPr="00124F23">
        <w:rPr>
          <w:rFonts w:ascii="Times New Roman" w:hAnsi="Times New Roman"/>
          <w:bCs/>
          <w:sz w:val="24"/>
        </w:rPr>
        <w:lastRenderedPageBreak/>
        <w:t>vehi</w:t>
      </w:r>
      <w:r>
        <w:rPr>
          <w:rFonts w:ascii="Times New Roman" w:hAnsi="Times New Roman"/>
          <w:bCs/>
          <w:sz w:val="24"/>
        </w:rPr>
        <w:t>cles, trailers and semitrailers.</w:t>
      </w:r>
      <w:r w:rsidRPr="00124F23">
        <w:rPr>
          <w:rFonts w:ascii="Times New Roman" w:hAnsi="Times New Roman"/>
          <w:sz w:val="24"/>
        </w:rPr>
        <w:t xml:space="preserve"> </w:t>
      </w:r>
      <w:r w:rsidRPr="00124F23">
        <w:rPr>
          <w:rFonts w:ascii="Times New Roman" w:hAnsi="Times New Roman"/>
          <w:bCs/>
          <w:sz w:val="24"/>
        </w:rPr>
        <w:t>Gra</w:t>
      </w:r>
      <w:r>
        <w:rPr>
          <w:rFonts w:ascii="Times New Roman" w:hAnsi="Times New Roman"/>
          <w:bCs/>
          <w:sz w:val="24"/>
        </w:rPr>
        <w:t>ph 2 shows</w:t>
      </w:r>
      <w:r w:rsidRPr="00124F23">
        <w:rPr>
          <w:rFonts w:ascii="Times New Roman" w:hAnsi="Times New Roman"/>
          <w:bCs/>
          <w:sz w:val="24"/>
        </w:rPr>
        <w:t xml:space="preserve"> the economic structure of FDI at the end of 2015 in the country.</w:t>
      </w:r>
      <w:r>
        <w:rPr>
          <w:rFonts w:ascii="Times New Roman" w:hAnsi="Times New Roman"/>
          <w:bCs/>
          <w:sz w:val="24"/>
        </w:rPr>
        <w:t xml:space="preserve"> [9]</w:t>
      </w:r>
    </w:p>
    <w:p w:rsidR="00FE48A6" w:rsidRDefault="00FE48A6" w:rsidP="00154EE6">
      <w:pPr>
        <w:spacing w:after="0"/>
        <w:rPr>
          <w:rFonts w:ascii="Times New Roman" w:hAnsi="Times New Roman"/>
          <w:sz w:val="24"/>
        </w:rPr>
      </w:pPr>
    </w:p>
    <w:p w:rsidR="00FE48A6" w:rsidRDefault="00FE48A6" w:rsidP="008E5660">
      <w:pPr>
        <w:spacing w:after="0"/>
        <w:ind w:left="900"/>
        <w:rPr>
          <w:rFonts w:ascii="Times New Roman" w:hAnsi="Times New Roman"/>
          <w:sz w:val="24"/>
        </w:rPr>
      </w:pPr>
    </w:p>
    <w:p w:rsidR="00FE48A6" w:rsidRDefault="00DF5F12" w:rsidP="008E5660">
      <w:pPr>
        <w:spacing w:after="0" w:line="480" w:lineRule="auto"/>
        <w:ind w:left="900"/>
        <w:jc w:val="center"/>
        <w:rPr>
          <w:rFonts w:ascii="Times New Roman" w:hAnsi="Times New Roman"/>
          <w:sz w:val="24"/>
        </w:rPr>
      </w:pPr>
      <w:r>
        <w:rPr>
          <w:noProof/>
          <w:lang w:eastAsia="en-US"/>
        </w:rPr>
        <w:drawing>
          <wp:inline distT="0" distB="0" distL="0" distR="0" wp14:anchorId="05200508" wp14:editId="386DBE5A">
            <wp:extent cx="5977890" cy="267462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48A6" w:rsidRDefault="00FE48A6" w:rsidP="008E5660">
      <w:pPr>
        <w:spacing w:after="0"/>
        <w:ind w:left="900"/>
        <w:jc w:val="center"/>
        <w:rPr>
          <w:rFonts w:ascii="Times New Roman" w:hAnsi="Times New Roman"/>
          <w:bCs/>
          <w:sz w:val="24"/>
        </w:rPr>
      </w:pPr>
      <w:r w:rsidRPr="007609FF">
        <w:rPr>
          <w:rFonts w:ascii="Times New Roman" w:hAnsi="Times New Roman"/>
          <w:bCs/>
          <w:sz w:val="24"/>
        </w:rPr>
        <w:t>Graph 2: FDI economic structure in Macedonia in 2015 (millions of euro and %)</w:t>
      </w:r>
    </w:p>
    <w:p w:rsidR="00FE48A6" w:rsidRDefault="00FE48A6" w:rsidP="008E5660">
      <w:pPr>
        <w:spacing w:after="0"/>
        <w:ind w:left="900"/>
        <w:jc w:val="center"/>
        <w:rPr>
          <w:rFonts w:ascii="Times New Roman" w:hAnsi="Times New Roman"/>
          <w:sz w:val="24"/>
        </w:rPr>
      </w:pPr>
      <w:r>
        <w:rPr>
          <w:rFonts w:ascii="Times New Roman" w:hAnsi="Times New Roman"/>
          <w:sz w:val="24"/>
        </w:rPr>
        <w:t xml:space="preserve">Source: Data used from </w:t>
      </w:r>
      <w:hyperlink r:id="rId9" w:history="1">
        <w:r w:rsidRPr="007D618C">
          <w:rPr>
            <w:rStyle w:val="Hyperlink"/>
            <w:rFonts w:ascii="Times New Roman" w:hAnsi="Times New Roman"/>
            <w:sz w:val="24"/>
          </w:rPr>
          <w:t>www.nbrm.gov</w:t>
        </w:r>
      </w:hyperlink>
      <w:r>
        <w:rPr>
          <w:rFonts w:ascii="Times New Roman" w:hAnsi="Times New Roman"/>
          <w:sz w:val="24"/>
        </w:rPr>
        <w:t>. mk</w:t>
      </w:r>
    </w:p>
    <w:p w:rsidR="00FE48A6" w:rsidRDefault="00FE48A6" w:rsidP="008E5660">
      <w:pPr>
        <w:autoSpaceDE w:val="0"/>
        <w:autoSpaceDN w:val="0"/>
        <w:adjustRightInd w:val="0"/>
        <w:spacing w:after="0"/>
        <w:ind w:left="900"/>
        <w:rPr>
          <w:rFonts w:ascii="Times New Roman" w:hAnsi="Times New Roman"/>
          <w:sz w:val="24"/>
        </w:rPr>
      </w:pPr>
    </w:p>
    <w:p w:rsidR="00FE48A6" w:rsidRDefault="00FE48A6" w:rsidP="008E5660">
      <w:pPr>
        <w:autoSpaceDE w:val="0"/>
        <w:autoSpaceDN w:val="0"/>
        <w:adjustRightInd w:val="0"/>
        <w:spacing w:after="0"/>
        <w:ind w:left="900"/>
        <w:rPr>
          <w:rFonts w:ascii="Times New Roman" w:hAnsi="Times New Roman"/>
          <w:bCs/>
          <w:sz w:val="24"/>
        </w:rPr>
      </w:pPr>
      <w:r>
        <w:rPr>
          <w:rFonts w:ascii="Times New Roman" w:hAnsi="Times New Roman"/>
          <w:sz w:val="24"/>
        </w:rPr>
        <w:t xml:space="preserve">Despite the fact that the average FDI inflow at annual level did not change, the structure of the invested foreign capital changed significantly not only in regard of the industries, but also in regard of the form in which it was invested. </w:t>
      </w:r>
      <w:r w:rsidRPr="00124F23">
        <w:rPr>
          <w:rFonts w:ascii="Times New Roman" w:hAnsi="Times New Roman"/>
          <w:sz w:val="24"/>
        </w:rPr>
        <w:t xml:space="preserve"> </w:t>
      </w:r>
      <w:r>
        <w:rPr>
          <w:rFonts w:ascii="Times New Roman" w:hAnsi="Times New Roman"/>
          <w:sz w:val="24"/>
        </w:rPr>
        <w:t xml:space="preserve">Thus, the participation of </w:t>
      </w:r>
      <w:r w:rsidRPr="00124F23">
        <w:rPr>
          <w:rFonts w:ascii="Times New Roman" w:hAnsi="Times New Roman"/>
          <w:sz w:val="24"/>
        </w:rPr>
        <w:t>green-fi</w:t>
      </w:r>
      <w:r>
        <w:rPr>
          <w:rFonts w:ascii="Times New Roman" w:hAnsi="Times New Roman"/>
          <w:sz w:val="24"/>
        </w:rPr>
        <w:t>eld investment in the total amount of FDI began to increase. Prior to 2011 the dominant form of investment in the economy was mergers and acquisitions with a ratio of 38% versus 61% of the total amount of FDI in favor of the later. T</w:t>
      </w:r>
      <w:r w:rsidRPr="00124F23">
        <w:rPr>
          <w:rFonts w:ascii="Times New Roman" w:hAnsi="Times New Roman"/>
          <w:sz w:val="24"/>
        </w:rPr>
        <w:t xml:space="preserve">he established </w:t>
      </w:r>
      <w:r>
        <w:rPr>
          <w:rFonts w:ascii="Times New Roman" w:hAnsi="Times New Roman"/>
          <w:bCs/>
          <w:sz w:val="24"/>
        </w:rPr>
        <w:t>T</w:t>
      </w:r>
      <w:r w:rsidRPr="00124F23">
        <w:rPr>
          <w:rFonts w:ascii="Times New Roman" w:hAnsi="Times New Roman"/>
          <w:bCs/>
          <w:sz w:val="24"/>
        </w:rPr>
        <w:t>D</w:t>
      </w:r>
      <w:r>
        <w:rPr>
          <w:rFonts w:ascii="Times New Roman" w:hAnsi="Times New Roman"/>
          <w:bCs/>
          <w:sz w:val="24"/>
        </w:rPr>
        <w:t xml:space="preserve">IZ </w:t>
      </w:r>
      <w:r w:rsidRPr="00124F23">
        <w:rPr>
          <w:rFonts w:ascii="Times New Roman" w:hAnsi="Times New Roman"/>
          <w:bCs/>
          <w:sz w:val="24"/>
        </w:rPr>
        <w:t>managed to attract about 1.13 billion Euros of FDI in the form of green-field investment</w:t>
      </w:r>
      <w:r>
        <w:rPr>
          <w:rFonts w:ascii="Times New Roman" w:hAnsi="Times New Roman"/>
          <w:bCs/>
          <w:sz w:val="24"/>
        </w:rPr>
        <w:t xml:space="preserve"> until the end of 2015</w:t>
      </w:r>
      <w:r w:rsidRPr="00124F23">
        <w:rPr>
          <w:rFonts w:ascii="Times New Roman" w:hAnsi="Times New Roman"/>
          <w:bCs/>
          <w:sz w:val="24"/>
        </w:rPr>
        <w:t xml:space="preserve">. </w:t>
      </w:r>
      <w:r>
        <w:rPr>
          <w:rFonts w:ascii="Times New Roman" w:hAnsi="Times New Roman"/>
          <w:bCs/>
          <w:sz w:val="24"/>
        </w:rPr>
        <w:t xml:space="preserve">Invested capital predominantly originated from European economies, among which the biggest investors came from Austria, Great Britain, Germany and Turkey. Data on the changing structure of FDI according to the form of investment is presented in Graph 3. </w:t>
      </w:r>
      <w:r w:rsidRPr="00124F23">
        <w:rPr>
          <w:rFonts w:ascii="Times New Roman" w:hAnsi="Times New Roman"/>
          <w:bCs/>
          <w:sz w:val="24"/>
        </w:rPr>
        <w:t xml:space="preserve"> </w:t>
      </w:r>
    </w:p>
    <w:p w:rsidR="00FE48A6" w:rsidRDefault="00FE48A6" w:rsidP="008E5660">
      <w:pPr>
        <w:autoSpaceDE w:val="0"/>
        <w:autoSpaceDN w:val="0"/>
        <w:adjustRightInd w:val="0"/>
        <w:spacing w:after="0"/>
        <w:ind w:left="900"/>
        <w:rPr>
          <w:rFonts w:ascii="Times New Roman" w:hAnsi="Times New Roman"/>
          <w:bCs/>
          <w:sz w:val="24"/>
        </w:rPr>
      </w:pPr>
    </w:p>
    <w:p w:rsidR="00FE48A6" w:rsidRPr="0097564D" w:rsidRDefault="00FE48A6" w:rsidP="008E5660">
      <w:pPr>
        <w:autoSpaceDE w:val="0"/>
        <w:autoSpaceDN w:val="0"/>
        <w:adjustRightInd w:val="0"/>
        <w:spacing w:after="0"/>
        <w:ind w:left="900"/>
        <w:rPr>
          <w:rFonts w:ascii="Times New Roman" w:hAnsi="Times New Roman"/>
          <w:sz w:val="24"/>
        </w:rPr>
      </w:pPr>
    </w:p>
    <w:p w:rsidR="00FE48A6" w:rsidRPr="00614E88" w:rsidRDefault="00FE48A6" w:rsidP="008E5660">
      <w:pPr>
        <w:autoSpaceDE w:val="0"/>
        <w:autoSpaceDN w:val="0"/>
        <w:adjustRightInd w:val="0"/>
        <w:spacing w:after="0"/>
        <w:ind w:left="900"/>
        <w:rPr>
          <w:rFonts w:ascii="Times New Roman" w:hAnsi="Times New Roman"/>
          <w:bCs/>
          <w:sz w:val="24"/>
        </w:rPr>
      </w:pPr>
    </w:p>
    <w:p w:rsidR="00FE48A6" w:rsidRDefault="00DF5F12" w:rsidP="008E5660">
      <w:pPr>
        <w:spacing w:after="0" w:line="480" w:lineRule="auto"/>
        <w:ind w:left="900"/>
        <w:rPr>
          <w:rFonts w:ascii="Times New Roman" w:hAnsi="Times New Roman"/>
          <w:sz w:val="24"/>
        </w:rPr>
      </w:pPr>
      <w:r>
        <w:rPr>
          <w:rFonts w:ascii="Times New Roman" w:hAnsi="Times New Roman"/>
          <w:noProof/>
          <w:sz w:val="24"/>
          <w:lang w:eastAsia="en-US"/>
        </w:rPr>
        <w:lastRenderedPageBreak/>
        <w:drawing>
          <wp:inline distT="0" distB="0" distL="0" distR="0" wp14:anchorId="652C503F" wp14:editId="700F5AA6">
            <wp:extent cx="5898515" cy="246824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48A6" w:rsidRDefault="00FE48A6" w:rsidP="008E5660">
      <w:pPr>
        <w:spacing w:after="0"/>
        <w:ind w:left="900"/>
        <w:jc w:val="center"/>
        <w:rPr>
          <w:rFonts w:ascii="Times New Roman" w:hAnsi="Times New Roman"/>
          <w:sz w:val="24"/>
        </w:rPr>
      </w:pPr>
      <w:r w:rsidRPr="00920673">
        <w:rPr>
          <w:rFonts w:ascii="Times New Roman" w:hAnsi="Times New Roman"/>
          <w:sz w:val="24"/>
        </w:rPr>
        <w:t>Graph 3: Greenfield investment and acquisitions &amp; mergers in Macedonia in period from 1997 to 2015 (in EUR)</w:t>
      </w:r>
      <w:r w:rsidRPr="008361AE">
        <w:rPr>
          <w:rFonts w:ascii="Times New Roman" w:hAnsi="Times New Roman"/>
          <w:sz w:val="24"/>
        </w:rPr>
        <w:t xml:space="preserve"> </w:t>
      </w:r>
      <w:r w:rsidRPr="00124F23">
        <w:rPr>
          <w:rFonts w:ascii="Times New Roman" w:hAnsi="Times New Roman"/>
          <w:sz w:val="24"/>
        </w:rPr>
        <w:t>So</w:t>
      </w:r>
      <w:r>
        <w:rPr>
          <w:rFonts w:ascii="Times New Roman" w:hAnsi="Times New Roman"/>
          <w:sz w:val="24"/>
        </w:rPr>
        <w:t xml:space="preserve">urce: Data used from </w:t>
      </w:r>
      <w:hyperlink r:id="rId11" w:history="1">
        <w:r w:rsidRPr="007D618C">
          <w:rPr>
            <w:rStyle w:val="Hyperlink"/>
            <w:rFonts w:ascii="Times New Roman" w:hAnsi="Times New Roman"/>
            <w:sz w:val="24"/>
          </w:rPr>
          <w:t>www.nbrm.gov</w:t>
        </w:r>
      </w:hyperlink>
      <w:r>
        <w:rPr>
          <w:rFonts w:ascii="Times New Roman" w:hAnsi="Times New Roman"/>
          <w:sz w:val="24"/>
        </w:rPr>
        <w:t>. mk</w:t>
      </w:r>
    </w:p>
    <w:p w:rsidR="00FE48A6" w:rsidRDefault="00FE48A6" w:rsidP="008E5660">
      <w:pPr>
        <w:autoSpaceDE w:val="0"/>
        <w:autoSpaceDN w:val="0"/>
        <w:adjustRightInd w:val="0"/>
        <w:spacing w:after="0" w:line="276" w:lineRule="auto"/>
        <w:ind w:left="900"/>
        <w:rPr>
          <w:rFonts w:ascii="Times New Roman" w:hAnsi="Times New Roman"/>
          <w:bCs/>
          <w:sz w:val="24"/>
        </w:rPr>
      </w:pPr>
    </w:p>
    <w:p w:rsidR="00FE48A6" w:rsidRPr="00467AC7" w:rsidRDefault="00FE48A6" w:rsidP="008E5660">
      <w:pPr>
        <w:autoSpaceDE w:val="0"/>
        <w:autoSpaceDN w:val="0"/>
        <w:adjustRightInd w:val="0"/>
        <w:spacing w:after="0"/>
        <w:ind w:left="900"/>
        <w:rPr>
          <w:rFonts w:ascii="Times New Roman" w:hAnsi="Times New Roman"/>
          <w:bCs/>
          <w:sz w:val="24"/>
        </w:rPr>
      </w:pPr>
      <w:r>
        <w:rPr>
          <w:rFonts w:ascii="Times New Roman" w:hAnsi="Times New Roman"/>
          <w:bCs/>
          <w:sz w:val="24"/>
        </w:rPr>
        <w:t xml:space="preserve">The concept of attracting FDI with abundant incentives provided for investment in the TDIZ was severely criticized by the business community, as well as by the academia. The basic arguments were that the fresh capital that was invested in the economy was of a rather limited scope, and that the costs for attracting foreign investors overcome the positive effects of the capital invested in the country. This was the motive for us to construct a VECM </w:t>
      </w:r>
      <w:r>
        <w:rPr>
          <w:rFonts w:ascii="Times New Roman" w:hAnsi="Times New Roman"/>
          <w:sz w:val="24"/>
        </w:rPr>
        <w:t xml:space="preserve">on selected endogenous and exogenous variables potentially connected to the FDI inflow. As endogenous variables we used </w:t>
      </w:r>
      <w:r w:rsidRPr="00124F23">
        <w:rPr>
          <w:rFonts w:ascii="Times New Roman" w:hAnsi="Times New Roman"/>
          <w:sz w:val="24"/>
        </w:rPr>
        <w:t>economic growth, labor productivity, openness to tr</w:t>
      </w:r>
      <w:r>
        <w:rPr>
          <w:rFonts w:ascii="Times New Roman" w:hAnsi="Times New Roman"/>
          <w:sz w:val="24"/>
        </w:rPr>
        <w:t>ade and current account balance. The exogenous factors were represented by political and institutional variables that have only one way potential influence upon FDI inflows. T</w:t>
      </w:r>
      <w:r w:rsidRPr="00C64903">
        <w:rPr>
          <w:rFonts w:ascii="Times New Roman" w:hAnsi="Times New Roman"/>
          <w:sz w:val="24"/>
        </w:rPr>
        <w:t xml:space="preserve">he results </w:t>
      </w:r>
      <w:r>
        <w:rPr>
          <w:rFonts w:ascii="Times New Roman" w:hAnsi="Times New Roman"/>
          <w:sz w:val="24"/>
        </w:rPr>
        <w:t xml:space="preserve">of the VECM confirmed that economic factors, such as </w:t>
      </w:r>
      <w:r w:rsidRPr="00C64903">
        <w:rPr>
          <w:rFonts w:ascii="Times New Roman" w:hAnsi="Times New Roman"/>
          <w:sz w:val="24"/>
        </w:rPr>
        <w:t>the ability to generate higher profits, openness to trade an</w:t>
      </w:r>
      <w:r>
        <w:rPr>
          <w:rFonts w:ascii="Times New Roman" w:hAnsi="Times New Roman"/>
          <w:sz w:val="24"/>
        </w:rPr>
        <w:t>d cheap skilled labor force, were the</w:t>
      </w:r>
      <w:r w:rsidRPr="00C64903">
        <w:rPr>
          <w:rFonts w:ascii="Times New Roman" w:hAnsi="Times New Roman"/>
          <w:sz w:val="24"/>
        </w:rPr>
        <w:t xml:space="preserve"> leading factors for investing in Macedonia. Considering the relation in regard of availability of cheap labor, in many cases in Macedonia foreign investors create</w:t>
      </w:r>
      <w:r>
        <w:rPr>
          <w:rFonts w:ascii="Times New Roman" w:hAnsi="Times New Roman"/>
          <w:sz w:val="24"/>
        </w:rPr>
        <w:t>d</w:t>
      </w:r>
      <w:r w:rsidRPr="00C64903">
        <w:rPr>
          <w:rFonts w:ascii="Times New Roman" w:hAnsi="Times New Roman"/>
          <w:sz w:val="24"/>
        </w:rPr>
        <w:t xml:space="preserve"> jobs by employing workers who were already employed i</w:t>
      </w:r>
      <w:r>
        <w:rPr>
          <w:rFonts w:ascii="Times New Roman" w:hAnsi="Times New Roman"/>
          <w:sz w:val="24"/>
        </w:rPr>
        <w:t>n domestic companies which made</w:t>
      </w:r>
      <w:r w:rsidRPr="00C64903">
        <w:rPr>
          <w:rFonts w:ascii="Times New Roman" w:hAnsi="Times New Roman"/>
          <w:sz w:val="24"/>
        </w:rPr>
        <w:t xml:space="preserve"> tax incentives and costs on education for the newly employed highly expensive and ineffective. The dynamic analysis of the current account deficit</w:t>
      </w:r>
      <w:r>
        <w:rPr>
          <w:rFonts w:ascii="Times New Roman" w:hAnsi="Times New Roman"/>
          <w:sz w:val="24"/>
        </w:rPr>
        <w:t xml:space="preserve"> confirmed that the effect of T</w:t>
      </w:r>
      <w:r w:rsidRPr="00C64903">
        <w:rPr>
          <w:rFonts w:ascii="Times New Roman" w:hAnsi="Times New Roman"/>
          <w:sz w:val="24"/>
        </w:rPr>
        <w:t>D</w:t>
      </w:r>
      <w:r>
        <w:rPr>
          <w:rFonts w:ascii="Times New Roman" w:hAnsi="Times New Roman"/>
          <w:sz w:val="24"/>
        </w:rPr>
        <w:t>I</w:t>
      </w:r>
      <w:r w:rsidRPr="00C64903">
        <w:rPr>
          <w:rFonts w:ascii="Times New Roman" w:hAnsi="Times New Roman"/>
          <w:sz w:val="24"/>
        </w:rPr>
        <w:t>Z</w:t>
      </w:r>
      <w:r>
        <w:rPr>
          <w:rFonts w:ascii="Times New Roman" w:hAnsi="Times New Roman"/>
          <w:sz w:val="24"/>
        </w:rPr>
        <w:t xml:space="preserve"> in the first five-year period wa</w:t>
      </w:r>
      <w:r w:rsidRPr="00C64903">
        <w:rPr>
          <w:rFonts w:ascii="Times New Roman" w:hAnsi="Times New Roman"/>
          <w:sz w:val="24"/>
        </w:rPr>
        <w:t>s gen</w:t>
      </w:r>
      <w:r>
        <w:rPr>
          <w:rFonts w:ascii="Times New Roman" w:hAnsi="Times New Roman"/>
          <w:sz w:val="24"/>
        </w:rPr>
        <w:t>erally small and as such resulted</w:t>
      </w:r>
      <w:r w:rsidRPr="00C64903">
        <w:rPr>
          <w:rFonts w:ascii="Times New Roman" w:hAnsi="Times New Roman"/>
          <w:sz w:val="24"/>
        </w:rPr>
        <w:t xml:space="preserve"> from higher initial import of equipment and materials at the time of </w:t>
      </w:r>
      <w:r>
        <w:rPr>
          <w:rFonts w:ascii="Times New Roman" w:hAnsi="Times New Roman"/>
          <w:sz w:val="24"/>
        </w:rPr>
        <w:t xml:space="preserve">founding the new facilities in </w:t>
      </w:r>
      <w:r w:rsidRPr="00C64903">
        <w:rPr>
          <w:rFonts w:ascii="Times New Roman" w:hAnsi="Times New Roman"/>
          <w:sz w:val="24"/>
        </w:rPr>
        <w:t>the initial investment cycle, while more significant effects were registered in the last two years, when the effect on the deficit contributed to narrowing the negative gap in the current account.</w:t>
      </w:r>
      <w:r>
        <w:rPr>
          <w:rFonts w:ascii="Times New Roman" w:hAnsi="Times New Roman"/>
          <w:sz w:val="24"/>
        </w:rPr>
        <w:t xml:space="preserve"> [11]</w:t>
      </w:r>
    </w:p>
    <w:p w:rsidR="00FE48A6" w:rsidRDefault="00FE48A6" w:rsidP="008E5660">
      <w:pPr>
        <w:spacing w:after="0"/>
        <w:ind w:left="900"/>
        <w:rPr>
          <w:rFonts w:ascii="Times New Roman" w:hAnsi="Times New Roman"/>
          <w:sz w:val="24"/>
        </w:rPr>
      </w:pPr>
    </w:p>
    <w:p w:rsidR="00FE48A6" w:rsidRDefault="00FE48A6" w:rsidP="008E5660">
      <w:pPr>
        <w:pStyle w:val="ListParagraph"/>
        <w:numPr>
          <w:ilvl w:val="0"/>
          <w:numId w:val="5"/>
        </w:numPr>
        <w:spacing w:after="0"/>
        <w:ind w:left="900" w:firstLine="0"/>
        <w:rPr>
          <w:rFonts w:ascii="Times New Roman" w:hAnsi="Times New Roman"/>
          <w:b/>
        </w:rPr>
      </w:pPr>
      <w:r w:rsidRPr="00920673">
        <w:rPr>
          <w:rFonts w:ascii="Times New Roman" w:hAnsi="Times New Roman"/>
        </w:rPr>
        <w:br w:type="column"/>
      </w:r>
      <w:r>
        <w:rPr>
          <w:rFonts w:ascii="Times New Roman" w:hAnsi="Times New Roman"/>
          <w:b/>
        </w:rPr>
        <w:lastRenderedPageBreak/>
        <w:t>THE NEW POLICY ON FINACIAL SUPPORT OF INVESTMENT</w:t>
      </w:r>
    </w:p>
    <w:p w:rsidR="00FE48A6" w:rsidRDefault="00FE48A6" w:rsidP="008E5660">
      <w:pPr>
        <w:spacing w:after="0"/>
        <w:ind w:left="900"/>
        <w:rPr>
          <w:rFonts w:ascii="Times New Roman" w:hAnsi="Times New Roman"/>
          <w:b/>
          <w:sz w:val="24"/>
        </w:rPr>
      </w:pPr>
    </w:p>
    <w:p w:rsidR="00FE48A6" w:rsidRDefault="00FE48A6" w:rsidP="008E5660">
      <w:pPr>
        <w:spacing w:after="0"/>
        <w:ind w:left="900"/>
        <w:rPr>
          <w:rFonts w:ascii="Times New Roman" w:hAnsi="Times New Roman"/>
          <w:sz w:val="24"/>
        </w:rPr>
      </w:pPr>
      <w:r>
        <w:rPr>
          <w:rFonts w:ascii="Times New Roman" w:hAnsi="Times New Roman"/>
          <w:sz w:val="24"/>
        </w:rPr>
        <w:t>The applied policy on support of foreign investors was confirmed to be rather disputable in terms of open discrimination of domestic investors and of being a source of un-loyal competition on the labor market which made serious damage to domestic investors. The later lost the most skilled and experienced workers by not being able to offer them better payment due to the obligation to pay all duties and taxes to the government.</w:t>
      </w:r>
    </w:p>
    <w:p w:rsidR="00FE48A6" w:rsidRDefault="00FE48A6" w:rsidP="008E5660">
      <w:pPr>
        <w:spacing w:after="0"/>
        <w:ind w:left="900"/>
        <w:rPr>
          <w:rFonts w:ascii="Times New Roman" w:hAnsi="Times New Roman"/>
          <w:sz w:val="24"/>
        </w:rPr>
      </w:pPr>
    </w:p>
    <w:p w:rsidR="00FE48A6" w:rsidRDefault="00FE48A6" w:rsidP="008E5660">
      <w:pPr>
        <w:spacing w:after="0"/>
        <w:ind w:left="900"/>
        <w:rPr>
          <w:rFonts w:ascii="Times New Roman" w:hAnsi="Times New Roman"/>
          <w:sz w:val="24"/>
        </w:rPr>
      </w:pPr>
      <w:r>
        <w:rPr>
          <w:rFonts w:ascii="Times New Roman" w:hAnsi="Times New Roman"/>
          <w:sz w:val="24"/>
        </w:rPr>
        <w:t>The severe critics on the previous model on FDI influenced the substitution of the old model with a new one that provides support of investment for both domestic and foreign investors on same terms. The basic preconditions for becoming a user of the state support are providing a prove on increment of company’s revenues three years in a row with an unchanged average or with increased number of employees in the last year compared to the average number of employees in the last three years. [12] The short review on provided incentives with the new law are presented in Table 2.</w:t>
      </w:r>
    </w:p>
    <w:p w:rsidR="00FE48A6" w:rsidRDefault="00FE48A6" w:rsidP="008E5660">
      <w:pPr>
        <w:spacing w:after="0"/>
        <w:ind w:left="900"/>
        <w:rPr>
          <w:rFonts w:ascii="Times New Roman" w:hAnsi="Times New Roman"/>
          <w:sz w:val="24"/>
        </w:rPr>
      </w:pPr>
    </w:p>
    <w:tbl>
      <w:tblPr>
        <w:tblW w:w="8484" w:type="dxa"/>
        <w:tblCellSpacing w:w="0" w:type="dxa"/>
        <w:tblInd w:w="91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8484"/>
      </w:tblGrid>
      <w:tr w:rsidR="00FE48A6" w:rsidRPr="00251357" w:rsidTr="001406C4">
        <w:trPr>
          <w:trHeight w:val="2592"/>
          <w:tblCellSpacing w:w="0" w:type="dxa"/>
        </w:trPr>
        <w:tc>
          <w:tcPr>
            <w:tcW w:w="8484" w:type="dxa"/>
          </w:tcPr>
          <w:p w:rsidR="00FE48A6" w:rsidRPr="00251357" w:rsidRDefault="00FE48A6" w:rsidP="008E5660">
            <w:pPr>
              <w:spacing w:after="0"/>
              <w:ind w:left="900"/>
              <w:rPr>
                <w:rFonts w:ascii="Times New Roman" w:hAnsi="Times New Roman"/>
                <w:sz w:val="24"/>
              </w:rPr>
            </w:pPr>
          </w:p>
          <w:p w:rsidR="00FE48A6" w:rsidRPr="00154EE6" w:rsidRDefault="00FE48A6" w:rsidP="00154EE6">
            <w:pPr>
              <w:pStyle w:val="ListParagraph"/>
              <w:numPr>
                <w:ilvl w:val="0"/>
                <w:numId w:val="15"/>
              </w:numPr>
              <w:spacing w:after="0"/>
              <w:ind w:left="705"/>
              <w:rPr>
                <w:rFonts w:ascii="Times New Roman" w:hAnsi="Times New Roman"/>
              </w:rPr>
            </w:pPr>
            <w:r w:rsidRPr="00154EE6">
              <w:rPr>
                <w:rFonts w:ascii="Times New Roman" w:hAnsi="Times New Roman"/>
              </w:rPr>
              <w:t>Creation of new working posts;</w:t>
            </w:r>
          </w:p>
          <w:p w:rsidR="00FE48A6" w:rsidRDefault="00FE48A6" w:rsidP="00154EE6">
            <w:pPr>
              <w:numPr>
                <w:ilvl w:val="0"/>
                <w:numId w:val="8"/>
              </w:numPr>
              <w:tabs>
                <w:tab w:val="clear" w:pos="1080"/>
                <w:tab w:val="num" w:pos="345"/>
              </w:tabs>
              <w:spacing w:after="0"/>
              <w:ind w:left="345" w:firstLine="0"/>
              <w:rPr>
                <w:rFonts w:ascii="Times New Roman" w:hAnsi="Times New Roman"/>
                <w:sz w:val="24"/>
              </w:rPr>
            </w:pPr>
            <w:r w:rsidRPr="00154EE6">
              <w:rPr>
                <w:rFonts w:ascii="Times New Roman" w:hAnsi="Times New Roman"/>
                <w:sz w:val="24"/>
              </w:rPr>
              <w:t>Establishing and enhancing cooperation with domestic suppliers;</w:t>
            </w:r>
          </w:p>
          <w:p w:rsidR="00FE48A6" w:rsidRDefault="00FE48A6" w:rsidP="00154EE6">
            <w:pPr>
              <w:numPr>
                <w:ilvl w:val="0"/>
                <w:numId w:val="8"/>
              </w:numPr>
              <w:tabs>
                <w:tab w:val="clear" w:pos="1080"/>
                <w:tab w:val="num" w:pos="345"/>
              </w:tabs>
              <w:spacing w:after="0"/>
              <w:ind w:left="345" w:firstLine="0"/>
              <w:rPr>
                <w:rFonts w:ascii="Times New Roman" w:hAnsi="Times New Roman"/>
                <w:sz w:val="24"/>
              </w:rPr>
            </w:pPr>
            <w:r w:rsidRPr="00154EE6">
              <w:rPr>
                <w:rFonts w:ascii="Times New Roman" w:hAnsi="Times New Roman"/>
                <w:sz w:val="24"/>
              </w:rPr>
              <w:t xml:space="preserve">Technological R&amp;D; </w:t>
            </w:r>
          </w:p>
          <w:p w:rsidR="00FE48A6" w:rsidRDefault="00FE48A6" w:rsidP="00154EE6">
            <w:pPr>
              <w:numPr>
                <w:ilvl w:val="0"/>
                <w:numId w:val="8"/>
              </w:numPr>
              <w:tabs>
                <w:tab w:val="clear" w:pos="1080"/>
                <w:tab w:val="num" w:pos="345"/>
              </w:tabs>
              <w:spacing w:after="0"/>
              <w:ind w:left="345" w:firstLine="0"/>
              <w:rPr>
                <w:rFonts w:ascii="Times New Roman" w:hAnsi="Times New Roman"/>
                <w:sz w:val="24"/>
              </w:rPr>
            </w:pPr>
            <w:r w:rsidRPr="00154EE6">
              <w:rPr>
                <w:rFonts w:ascii="Times New Roman" w:hAnsi="Times New Roman"/>
                <w:sz w:val="24"/>
              </w:rPr>
              <w:t>Investment project of significant economic interest;</w:t>
            </w:r>
          </w:p>
          <w:p w:rsidR="00FE48A6" w:rsidRDefault="00FE48A6" w:rsidP="00154EE6">
            <w:pPr>
              <w:numPr>
                <w:ilvl w:val="0"/>
                <w:numId w:val="8"/>
              </w:numPr>
              <w:tabs>
                <w:tab w:val="clear" w:pos="1080"/>
                <w:tab w:val="num" w:pos="345"/>
              </w:tabs>
              <w:spacing w:after="0"/>
              <w:ind w:left="345" w:firstLine="0"/>
              <w:rPr>
                <w:rFonts w:ascii="Times New Roman" w:hAnsi="Times New Roman"/>
                <w:sz w:val="24"/>
              </w:rPr>
            </w:pPr>
            <w:r w:rsidRPr="00154EE6">
              <w:rPr>
                <w:rFonts w:ascii="Times New Roman" w:hAnsi="Times New Roman"/>
                <w:sz w:val="24"/>
              </w:rPr>
              <w:t xml:space="preserve">Increment of capital investment and revenues; </w:t>
            </w:r>
          </w:p>
          <w:p w:rsidR="00FE48A6" w:rsidRDefault="00FE48A6" w:rsidP="00154EE6">
            <w:pPr>
              <w:numPr>
                <w:ilvl w:val="0"/>
                <w:numId w:val="8"/>
              </w:numPr>
              <w:tabs>
                <w:tab w:val="clear" w:pos="1080"/>
                <w:tab w:val="num" w:pos="345"/>
              </w:tabs>
              <w:spacing w:after="0"/>
              <w:ind w:left="345" w:firstLine="0"/>
              <w:rPr>
                <w:rFonts w:ascii="Times New Roman" w:hAnsi="Times New Roman"/>
                <w:sz w:val="24"/>
              </w:rPr>
            </w:pPr>
            <w:r w:rsidRPr="00154EE6">
              <w:rPr>
                <w:rFonts w:ascii="Times New Roman" w:hAnsi="Times New Roman"/>
                <w:sz w:val="24"/>
              </w:rPr>
              <w:t>Repurchase of equipment from enterprises facing difficulties;</w:t>
            </w:r>
          </w:p>
          <w:p w:rsidR="00FE48A6" w:rsidRPr="00154EE6" w:rsidRDefault="00FE48A6" w:rsidP="00154EE6">
            <w:pPr>
              <w:numPr>
                <w:ilvl w:val="0"/>
                <w:numId w:val="8"/>
              </w:numPr>
              <w:tabs>
                <w:tab w:val="clear" w:pos="1080"/>
                <w:tab w:val="num" w:pos="705"/>
              </w:tabs>
              <w:spacing w:after="0"/>
              <w:ind w:left="705"/>
              <w:rPr>
                <w:rFonts w:ascii="Times New Roman" w:hAnsi="Times New Roman"/>
                <w:sz w:val="24"/>
              </w:rPr>
            </w:pPr>
            <w:r w:rsidRPr="00154EE6">
              <w:rPr>
                <w:rFonts w:ascii="Times New Roman" w:hAnsi="Times New Roman"/>
                <w:sz w:val="24"/>
              </w:rPr>
              <w:t>Enterprises that increased their competitiveness on the market or increased sales on new markets.</w:t>
            </w:r>
          </w:p>
        </w:tc>
      </w:tr>
    </w:tbl>
    <w:p w:rsidR="000F02B0" w:rsidRDefault="00FE48A6" w:rsidP="008E5660">
      <w:pPr>
        <w:autoSpaceDE w:val="0"/>
        <w:autoSpaceDN w:val="0"/>
        <w:adjustRightInd w:val="0"/>
        <w:spacing w:after="0"/>
        <w:ind w:left="900"/>
        <w:jc w:val="center"/>
        <w:rPr>
          <w:rFonts w:ascii="Times New Roman" w:hAnsi="Times New Roman"/>
          <w:bCs/>
          <w:sz w:val="24"/>
        </w:rPr>
      </w:pPr>
      <w:r>
        <w:rPr>
          <w:rFonts w:ascii="Times New Roman" w:hAnsi="Times New Roman"/>
          <w:sz w:val="24"/>
        </w:rPr>
        <w:t xml:space="preserve">Table 2: </w:t>
      </w:r>
      <w:r w:rsidR="000F02B0">
        <w:rPr>
          <w:rFonts w:ascii="Times New Roman" w:hAnsi="Times New Roman"/>
          <w:sz w:val="24"/>
        </w:rPr>
        <w:t>Eligibility for f</w:t>
      </w:r>
      <w:r w:rsidR="000F02B0">
        <w:rPr>
          <w:rFonts w:ascii="Times New Roman" w:hAnsi="Times New Roman"/>
          <w:bCs/>
          <w:sz w:val="24"/>
        </w:rPr>
        <w:t xml:space="preserve">inancial support according </w:t>
      </w:r>
      <w:r w:rsidRPr="0039777C">
        <w:rPr>
          <w:rFonts w:ascii="Times New Roman" w:hAnsi="Times New Roman"/>
          <w:bCs/>
          <w:sz w:val="24"/>
        </w:rPr>
        <w:t>th</w:t>
      </w:r>
      <w:r w:rsidR="000F02B0">
        <w:rPr>
          <w:rFonts w:ascii="Times New Roman" w:hAnsi="Times New Roman"/>
          <w:bCs/>
          <w:sz w:val="24"/>
        </w:rPr>
        <w:t>e new policy on investment</w:t>
      </w:r>
      <w:r>
        <w:rPr>
          <w:rFonts w:ascii="Times New Roman" w:hAnsi="Times New Roman"/>
          <w:bCs/>
          <w:sz w:val="24"/>
        </w:rPr>
        <w:t xml:space="preserve"> </w:t>
      </w:r>
    </w:p>
    <w:p w:rsidR="00FE48A6" w:rsidRDefault="00FE48A6" w:rsidP="008E5660">
      <w:pPr>
        <w:autoSpaceDE w:val="0"/>
        <w:autoSpaceDN w:val="0"/>
        <w:adjustRightInd w:val="0"/>
        <w:spacing w:after="0"/>
        <w:ind w:left="900"/>
        <w:jc w:val="center"/>
        <w:rPr>
          <w:rFonts w:ascii="TimesNewRoman,Bold" w:hAnsi="TimesNewRoman,Bold" w:cs="TimesNewRoman,Bold"/>
          <w:bCs/>
          <w:sz w:val="24"/>
        </w:rPr>
      </w:pPr>
      <w:r>
        <w:rPr>
          <w:rFonts w:ascii="Times New Roman" w:hAnsi="Times New Roman"/>
          <w:bCs/>
          <w:sz w:val="24"/>
        </w:rPr>
        <w:t xml:space="preserve">Source: </w:t>
      </w:r>
      <w:hyperlink r:id="rId12" w:history="1">
        <w:r w:rsidRPr="0009497B">
          <w:rPr>
            <w:rStyle w:val="Hyperlink"/>
            <w:rFonts w:ascii="TimesNewRoman,Bold" w:hAnsi="TimesNewRoman,Bold" w:cs="TimesNewRoman,Bold"/>
            <w:bCs/>
            <w:sz w:val="24"/>
          </w:rPr>
          <w:t>www.economy.gov.mk</w:t>
        </w:r>
      </w:hyperlink>
      <w:r>
        <w:rPr>
          <w:rFonts w:ascii="TimesNewRoman,Bold" w:hAnsi="TimesNewRoman,Bold" w:cs="TimesNewRoman,Bold"/>
          <w:bCs/>
          <w:sz w:val="24"/>
        </w:rPr>
        <w:t>, last accessed on the 21</w:t>
      </w:r>
      <w:r w:rsidRPr="001D36EA">
        <w:rPr>
          <w:rFonts w:ascii="TimesNewRoman,Bold" w:hAnsi="TimesNewRoman,Bold" w:cs="TimesNewRoman,Bold"/>
          <w:bCs/>
          <w:sz w:val="24"/>
          <w:vertAlign w:val="superscript"/>
        </w:rPr>
        <w:t>st</w:t>
      </w:r>
      <w:r>
        <w:rPr>
          <w:rFonts w:ascii="TimesNewRoman,Bold" w:hAnsi="TimesNewRoman,Bold" w:cs="TimesNewRoman,Bold"/>
          <w:bCs/>
          <w:sz w:val="24"/>
        </w:rPr>
        <w:t xml:space="preserve"> of May, 2019, pp. 3-4</w:t>
      </w:r>
    </w:p>
    <w:p w:rsidR="00FE48A6" w:rsidRDefault="00FE48A6" w:rsidP="008E5660">
      <w:pPr>
        <w:spacing w:after="0"/>
        <w:ind w:left="900"/>
        <w:rPr>
          <w:rFonts w:ascii="Times New Roman" w:hAnsi="Times New Roman"/>
          <w:sz w:val="24"/>
        </w:rPr>
      </w:pPr>
    </w:p>
    <w:p w:rsidR="00FE48A6" w:rsidRDefault="00FE48A6" w:rsidP="008E5660">
      <w:pPr>
        <w:spacing w:after="0"/>
        <w:ind w:left="900"/>
        <w:rPr>
          <w:rFonts w:ascii="Times New Roman" w:hAnsi="Times New Roman"/>
          <w:sz w:val="24"/>
        </w:rPr>
      </w:pPr>
      <w:r>
        <w:rPr>
          <w:rFonts w:ascii="Times New Roman" w:hAnsi="Times New Roman"/>
          <w:sz w:val="24"/>
        </w:rPr>
        <w:t>The new model tries to eliminate or to improve some of the inconsistencies of the old model.  Among the most important is termination of the predatory practice of overtaking well experienced and skilled workers from domestic companies by defining a precondition for using the offered support only for new employees who were out of work for at least three months and were not employed by the same employee at least 12 months before; that are out of work because of bankruptcy of the company in which they used to work or were employed in public or state administration. [13]</w:t>
      </w:r>
    </w:p>
    <w:p w:rsidR="00FE48A6" w:rsidRDefault="00FE48A6" w:rsidP="008E5660">
      <w:pPr>
        <w:spacing w:after="0"/>
        <w:ind w:left="900"/>
        <w:rPr>
          <w:rFonts w:ascii="Times New Roman" w:hAnsi="Times New Roman"/>
          <w:sz w:val="24"/>
        </w:rPr>
      </w:pPr>
    </w:p>
    <w:p w:rsidR="00FE48A6" w:rsidRDefault="00FE48A6" w:rsidP="008E5660">
      <w:pPr>
        <w:spacing w:after="0"/>
        <w:ind w:left="900"/>
        <w:rPr>
          <w:rFonts w:ascii="Times New Roman" w:hAnsi="Times New Roman"/>
          <w:sz w:val="24"/>
        </w:rPr>
      </w:pPr>
      <w:r>
        <w:rPr>
          <w:rFonts w:ascii="Times New Roman" w:hAnsi="Times New Roman"/>
          <w:sz w:val="24"/>
        </w:rPr>
        <w:t>The previous model did not create any spill-over effects for the Macedonian manufacturing companies, as only a dozen of small firms were engaged as suppliers of components for foreign investors’ companies. This model provides financial support in amount of 1% of total value of supplied materials or a total of 300,000 Euros per year for companies that used at least 15% of the value of total input for their production in the previous calendar year from domestic sources. [14]</w:t>
      </w:r>
    </w:p>
    <w:p w:rsidR="00FE48A6" w:rsidRDefault="00FE48A6" w:rsidP="008E5660">
      <w:pPr>
        <w:spacing w:after="0"/>
        <w:ind w:left="900"/>
        <w:rPr>
          <w:rFonts w:ascii="Times New Roman" w:hAnsi="Times New Roman"/>
          <w:sz w:val="24"/>
        </w:rPr>
      </w:pPr>
    </w:p>
    <w:p w:rsidR="00FE48A6" w:rsidRDefault="00FE48A6" w:rsidP="008E5660">
      <w:pPr>
        <w:spacing w:after="0"/>
        <w:ind w:left="900"/>
        <w:rPr>
          <w:rFonts w:ascii="Times New Roman" w:hAnsi="Times New Roman"/>
          <w:sz w:val="24"/>
        </w:rPr>
      </w:pPr>
      <w:r>
        <w:rPr>
          <w:rFonts w:ascii="Times New Roman" w:hAnsi="Times New Roman"/>
          <w:sz w:val="24"/>
        </w:rPr>
        <w:lastRenderedPageBreak/>
        <w:t>As projects with significant economic impact eligible for financial support is recognized investment of at least 4 mil. Euros that are going to create at least 300 working posts or investment of  at least 20 mil. Euros. [15]</w:t>
      </w:r>
    </w:p>
    <w:p w:rsidR="00FE48A6" w:rsidRDefault="00FE48A6" w:rsidP="008E5660">
      <w:pPr>
        <w:spacing w:after="0"/>
        <w:ind w:left="900"/>
        <w:rPr>
          <w:rFonts w:ascii="Times New Roman" w:hAnsi="Times New Roman"/>
          <w:sz w:val="24"/>
        </w:rPr>
      </w:pPr>
    </w:p>
    <w:p w:rsidR="00FE48A6" w:rsidRDefault="00FE48A6" w:rsidP="008E5660">
      <w:pPr>
        <w:spacing w:after="0"/>
        <w:ind w:left="900"/>
        <w:rPr>
          <w:rFonts w:ascii="Times New Roman" w:hAnsi="Times New Roman"/>
          <w:sz w:val="24"/>
        </w:rPr>
      </w:pPr>
      <w:r>
        <w:rPr>
          <w:rFonts w:ascii="Times New Roman" w:hAnsi="Times New Roman"/>
          <w:sz w:val="24"/>
        </w:rPr>
        <w:t>The financial support is going to be provided from 3 to a maximum 10 year period of time. [16]</w:t>
      </w:r>
    </w:p>
    <w:p w:rsidR="00FE48A6" w:rsidRDefault="00FE48A6" w:rsidP="008E5660">
      <w:pPr>
        <w:spacing w:after="0"/>
        <w:ind w:left="900"/>
        <w:rPr>
          <w:rFonts w:ascii="Times New Roman" w:hAnsi="Times New Roman"/>
          <w:b/>
          <w:sz w:val="24"/>
        </w:rPr>
      </w:pPr>
    </w:p>
    <w:p w:rsidR="00FE48A6" w:rsidRDefault="00FE48A6" w:rsidP="008E5660">
      <w:pPr>
        <w:pStyle w:val="ListParagraph"/>
        <w:numPr>
          <w:ilvl w:val="0"/>
          <w:numId w:val="5"/>
        </w:numPr>
        <w:spacing w:after="0"/>
        <w:ind w:left="900" w:firstLine="0"/>
        <w:rPr>
          <w:rFonts w:ascii="Times New Roman" w:hAnsi="Times New Roman"/>
          <w:b/>
        </w:rPr>
      </w:pPr>
      <w:r>
        <w:rPr>
          <w:rFonts w:ascii="Times New Roman" w:hAnsi="Times New Roman"/>
          <w:b/>
        </w:rPr>
        <w:t>CONCLUSION</w:t>
      </w:r>
    </w:p>
    <w:p w:rsidR="00FE48A6" w:rsidRDefault="00FE48A6" w:rsidP="008E5660">
      <w:pPr>
        <w:pStyle w:val="ListParagraph"/>
        <w:spacing w:after="0"/>
        <w:ind w:left="900"/>
        <w:rPr>
          <w:rFonts w:ascii="Times New Roman" w:hAnsi="Times New Roman"/>
          <w:b/>
        </w:rPr>
      </w:pPr>
    </w:p>
    <w:p w:rsidR="00FE48A6" w:rsidRDefault="00FE48A6" w:rsidP="008E5660">
      <w:pPr>
        <w:spacing w:after="0"/>
        <w:ind w:left="900"/>
        <w:rPr>
          <w:rFonts w:ascii="Times New Roman" w:hAnsi="Times New Roman"/>
          <w:sz w:val="24"/>
        </w:rPr>
      </w:pPr>
      <w:r>
        <w:rPr>
          <w:rFonts w:ascii="Times New Roman" w:hAnsi="Times New Roman"/>
          <w:sz w:val="24"/>
        </w:rPr>
        <w:t xml:space="preserve">The new model on financial support of investment was proposed at the end of 2018. Therefore it could not been tested in practice, yet. </w:t>
      </w:r>
      <w:r w:rsidR="00B56118">
        <w:rPr>
          <w:rFonts w:ascii="Times New Roman" w:hAnsi="Times New Roman"/>
          <w:sz w:val="24"/>
        </w:rPr>
        <w:t>Although, i</w:t>
      </w:r>
      <w:r>
        <w:rPr>
          <w:rFonts w:ascii="Times New Roman" w:hAnsi="Times New Roman"/>
          <w:sz w:val="24"/>
        </w:rPr>
        <w:t>t tries to eliminate some defects of the old model especially in regard of open discrimination of domestic investors and predatory overtaking of skilled and experienced working force f</w:t>
      </w:r>
      <w:r w:rsidR="004A3777">
        <w:rPr>
          <w:rFonts w:ascii="Times New Roman" w:hAnsi="Times New Roman"/>
          <w:sz w:val="24"/>
        </w:rPr>
        <w:t xml:space="preserve">rom domestic companies, </w:t>
      </w:r>
      <w:r>
        <w:rPr>
          <w:rFonts w:ascii="Times New Roman" w:hAnsi="Times New Roman"/>
          <w:sz w:val="24"/>
        </w:rPr>
        <w:t xml:space="preserve">the proposed model is </w:t>
      </w:r>
      <w:r w:rsidR="004A3777">
        <w:rPr>
          <w:rFonts w:ascii="Times New Roman" w:hAnsi="Times New Roman"/>
          <w:sz w:val="24"/>
        </w:rPr>
        <w:t xml:space="preserve">still </w:t>
      </w:r>
      <w:r>
        <w:rPr>
          <w:rFonts w:ascii="Times New Roman" w:hAnsi="Times New Roman"/>
          <w:sz w:val="24"/>
        </w:rPr>
        <w:t>based on</w:t>
      </w:r>
      <w:r w:rsidR="004A3777">
        <w:rPr>
          <w:rFonts w:ascii="Times New Roman" w:hAnsi="Times New Roman"/>
          <w:sz w:val="24"/>
        </w:rPr>
        <w:t xml:space="preserve"> a direct state support and</w:t>
      </w:r>
      <w:r>
        <w:rPr>
          <w:rFonts w:ascii="Times New Roman" w:hAnsi="Times New Roman"/>
          <w:sz w:val="24"/>
        </w:rPr>
        <w:t xml:space="preserve"> supports the existence of TDIZ. </w:t>
      </w:r>
      <w:r w:rsidRPr="00A007BD">
        <w:rPr>
          <w:rFonts w:ascii="Times New Roman" w:hAnsi="Times New Roman"/>
          <w:sz w:val="24"/>
        </w:rPr>
        <w:t xml:space="preserve">The incentives provided with the new model </w:t>
      </w:r>
      <w:r>
        <w:rPr>
          <w:rFonts w:ascii="Times New Roman" w:hAnsi="Times New Roman"/>
          <w:sz w:val="24"/>
        </w:rPr>
        <w:t xml:space="preserve">may </w:t>
      </w:r>
      <w:r w:rsidRPr="00A007BD">
        <w:rPr>
          <w:rFonts w:ascii="Times New Roman" w:hAnsi="Times New Roman"/>
          <w:sz w:val="24"/>
        </w:rPr>
        <w:t>cumulate with the incentive</w:t>
      </w:r>
      <w:r>
        <w:rPr>
          <w:rFonts w:ascii="Times New Roman" w:hAnsi="Times New Roman"/>
          <w:sz w:val="24"/>
        </w:rPr>
        <w:t>s provided with the previous ones</w:t>
      </w:r>
      <w:r w:rsidRPr="00A007BD">
        <w:rPr>
          <w:rFonts w:ascii="Times New Roman" w:hAnsi="Times New Roman"/>
          <w:sz w:val="24"/>
        </w:rPr>
        <w:t xml:space="preserve"> if the old agreement is still active and the company fulfills the new rules. It does not seem to create real opportunities for elimination of the influence of political and institutional inefficiencies.</w:t>
      </w:r>
      <w:r>
        <w:rPr>
          <w:rFonts w:ascii="Times New Roman" w:hAnsi="Times New Roman"/>
          <w:sz w:val="24"/>
        </w:rPr>
        <w:t xml:space="preserve"> This model could also</w:t>
      </w:r>
      <w:r w:rsidR="004A3777">
        <w:rPr>
          <w:rFonts w:ascii="Times New Roman" w:hAnsi="Times New Roman"/>
          <w:sz w:val="24"/>
        </w:rPr>
        <w:t xml:space="preserve"> be</w:t>
      </w:r>
      <w:r>
        <w:rPr>
          <w:rFonts w:ascii="Times New Roman" w:hAnsi="Times New Roman"/>
          <w:sz w:val="24"/>
        </w:rPr>
        <w:t xml:space="preserve"> disputable on a long run as the existence of TDIZ and abundan</w:t>
      </w:r>
      <w:r w:rsidR="004A3777">
        <w:rPr>
          <w:rFonts w:ascii="Times New Roman" w:hAnsi="Times New Roman"/>
          <w:sz w:val="24"/>
        </w:rPr>
        <w:t xml:space="preserve">t direct state support are </w:t>
      </w:r>
      <w:r>
        <w:rPr>
          <w:rFonts w:ascii="Times New Roman" w:hAnsi="Times New Roman"/>
          <w:sz w:val="24"/>
        </w:rPr>
        <w:t>not in compliance with the EU regulation.</w:t>
      </w:r>
    </w:p>
    <w:p w:rsidR="00FE48A6" w:rsidRDefault="00FE48A6" w:rsidP="008E5660">
      <w:pPr>
        <w:spacing w:after="0"/>
        <w:ind w:left="900"/>
        <w:rPr>
          <w:rFonts w:ascii="Times New Roman" w:hAnsi="Times New Roman"/>
          <w:sz w:val="24"/>
        </w:rPr>
      </w:pPr>
    </w:p>
    <w:p w:rsidR="004A3777" w:rsidRPr="00920673" w:rsidRDefault="004A3777" w:rsidP="008E5660">
      <w:pPr>
        <w:spacing w:after="0"/>
        <w:ind w:left="900"/>
        <w:rPr>
          <w:rFonts w:ascii="Times New Roman" w:hAnsi="Times New Roman"/>
          <w:sz w:val="24"/>
        </w:rPr>
      </w:pPr>
    </w:p>
    <w:p w:rsidR="00FE48A6" w:rsidRDefault="00FE48A6" w:rsidP="008E5660">
      <w:pPr>
        <w:pStyle w:val="Default"/>
        <w:ind w:left="900"/>
        <w:jc w:val="both"/>
        <w:rPr>
          <w:b/>
        </w:rPr>
      </w:pPr>
      <w:r w:rsidRPr="00783D60">
        <w:rPr>
          <w:b/>
        </w:rPr>
        <w:t>REFERENCES:</w:t>
      </w:r>
    </w:p>
    <w:p w:rsidR="00FE48A6" w:rsidRDefault="00FE48A6" w:rsidP="008E5660">
      <w:pPr>
        <w:pStyle w:val="Default"/>
        <w:ind w:left="900"/>
        <w:jc w:val="both"/>
        <w:rPr>
          <w:b/>
        </w:rPr>
      </w:pPr>
    </w:p>
    <w:p w:rsidR="00FE48A6" w:rsidRPr="005C1D3A" w:rsidRDefault="00FE48A6" w:rsidP="008E5660">
      <w:pPr>
        <w:pStyle w:val="Default"/>
        <w:ind w:left="900"/>
      </w:pPr>
      <w:r>
        <w:t xml:space="preserve"> [1] Zemplinarova, A. (1996): </w:t>
      </w:r>
      <w:r w:rsidRPr="005C1D3A">
        <w:rPr>
          <w:i/>
          <w:iCs/>
        </w:rPr>
        <w:t>Incentives and Dissincentives for FDI in Transition Eco</w:t>
      </w:r>
      <w:r>
        <w:rPr>
          <w:i/>
          <w:iCs/>
        </w:rPr>
        <w:t>nomies</w:t>
      </w:r>
      <w:r w:rsidRPr="005C1D3A">
        <w:rPr>
          <w:i/>
          <w:iCs/>
        </w:rPr>
        <w:t xml:space="preserve">, </w:t>
      </w:r>
    </w:p>
    <w:p w:rsidR="00FE48A6" w:rsidRDefault="00FE48A6" w:rsidP="008E5660">
      <w:pPr>
        <w:pStyle w:val="Default"/>
        <w:ind w:left="900"/>
      </w:pPr>
      <w:r w:rsidRPr="005C1D3A">
        <w:t>Economic Insti</w:t>
      </w:r>
      <w:r>
        <w:t>tute of the Academy of Sciences, Prague</w:t>
      </w:r>
    </w:p>
    <w:p w:rsidR="00FE48A6" w:rsidRDefault="00FE48A6" w:rsidP="008E5660">
      <w:pPr>
        <w:autoSpaceDE w:val="0"/>
        <w:autoSpaceDN w:val="0"/>
        <w:adjustRightInd w:val="0"/>
        <w:spacing w:after="0"/>
        <w:ind w:left="900"/>
        <w:jc w:val="left"/>
        <w:rPr>
          <w:rFonts w:ascii="Times New Roman" w:hAnsi="Times New Roman"/>
          <w:color w:val="000000"/>
          <w:sz w:val="24"/>
          <w:lang w:eastAsia="en-US"/>
        </w:rPr>
      </w:pPr>
      <w:r>
        <w:rPr>
          <w:rFonts w:ascii="Times New Roman" w:hAnsi="Times New Roman"/>
          <w:sz w:val="24"/>
        </w:rPr>
        <w:t>[2</w:t>
      </w:r>
      <w:r w:rsidRPr="008D110F">
        <w:rPr>
          <w:rFonts w:ascii="Times New Roman" w:hAnsi="Times New Roman"/>
          <w:sz w:val="24"/>
        </w:rPr>
        <w:t>]</w:t>
      </w:r>
      <w:r>
        <w:t xml:space="preserve">  </w:t>
      </w:r>
      <w:r w:rsidRPr="000F2DE9">
        <w:rPr>
          <w:rFonts w:ascii="Times New Roman" w:hAnsi="Times New Roman"/>
          <w:color w:val="000000"/>
          <w:sz w:val="24"/>
          <w:lang w:eastAsia="en-US"/>
        </w:rPr>
        <w:t>Cleeve, E. (2008): “</w:t>
      </w:r>
      <w:r w:rsidRPr="000F2DE9">
        <w:rPr>
          <w:rFonts w:ascii="Times New Roman" w:hAnsi="Times New Roman"/>
          <w:iCs/>
          <w:color w:val="000000"/>
          <w:sz w:val="24"/>
          <w:lang w:eastAsia="en-US"/>
        </w:rPr>
        <w:t>How effective are scale incentive</w:t>
      </w:r>
      <w:r>
        <w:rPr>
          <w:rFonts w:ascii="Times New Roman" w:hAnsi="Times New Roman"/>
          <w:iCs/>
          <w:color w:val="000000"/>
          <w:sz w:val="24"/>
          <w:lang w:eastAsia="en-US"/>
        </w:rPr>
        <w:t xml:space="preserve">s to attract FDI to Sub-Saharan </w:t>
      </w:r>
      <w:r w:rsidRPr="000F2DE9">
        <w:rPr>
          <w:rFonts w:ascii="Times New Roman" w:hAnsi="Times New Roman"/>
          <w:iCs/>
          <w:color w:val="000000"/>
          <w:sz w:val="24"/>
          <w:lang w:eastAsia="en-US"/>
        </w:rPr>
        <w:t>Africa?</w:t>
      </w:r>
      <w:r w:rsidRPr="000F2DE9">
        <w:rPr>
          <w:rFonts w:ascii="Times New Roman" w:hAnsi="Times New Roman"/>
          <w:color w:val="000000"/>
          <w:sz w:val="24"/>
          <w:lang w:eastAsia="en-US"/>
        </w:rPr>
        <w:t>”,</w:t>
      </w:r>
      <w:r>
        <w:rPr>
          <w:rFonts w:ascii="Times New Roman" w:hAnsi="Times New Roman"/>
          <w:color w:val="000000"/>
          <w:sz w:val="24"/>
          <w:lang w:eastAsia="en-US"/>
        </w:rPr>
        <w:t xml:space="preserve"> </w:t>
      </w:r>
      <w:r w:rsidRPr="000F2DE9">
        <w:rPr>
          <w:rFonts w:ascii="Times New Roman" w:hAnsi="Times New Roman"/>
          <w:i/>
          <w:color w:val="000000"/>
          <w:sz w:val="24"/>
          <w:lang w:eastAsia="en-US"/>
        </w:rPr>
        <w:t>The Journal of Developing Areas</w:t>
      </w:r>
      <w:r w:rsidRPr="000F2DE9">
        <w:rPr>
          <w:rFonts w:ascii="Times New Roman" w:hAnsi="Times New Roman"/>
          <w:color w:val="000000"/>
          <w:sz w:val="24"/>
          <w:lang w:eastAsia="en-US"/>
        </w:rPr>
        <w:t xml:space="preserve">, 46(1), </w:t>
      </w:r>
      <w:r>
        <w:rPr>
          <w:rFonts w:ascii="Times New Roman" w:hAnsi="Times New Roman"/>
          <w:color w:val="000000"/>
          <w:sz w:val="24"/>
          <w:lang w:eastAsia="en-US"/>
        </w:rPr>
        <w:t>pp.135-</w:t>
      </w:r>
      <w:r w:rsidRPr="000F2DE9">
        <w:rPr>
          <w:rFonts w:ascii="Times New Roman" w:hAnsi="Times New Roman"/>
          <w:color w:val="000000"/>
          <w:sz w:val="24"/>
          <w:lang w:eastAsia="en-US"/>
        </w:rPr>
        <w:t>153</w:t>
      </w:r>
    </w:p>
    <w:p w:rsidR="00FE48A6" w:rsidRPr="005C1D3A" w:rsidRDefault="00FE48A6" w:rsidP="008E5660">
      <w:pPr>
        <w:pStyle w:val="Default"/>
        <w:ind w:left="900"/>
      </w:pPr>
      <w:r>
        <w:t xml:space="preserve">[3]  </w:t>
      </w:r>
      <w:r w:rsidRPr="005C1D3A">
        <w:t>Cass, F. (2007): “</w:t>
      </w:r>
      <w:r w:rsidRPr="005C1D3A">
        <w:rPr>
          <w:iCs/>
        </w:rPr>
        <w:t xml:space="preserve">Attracting FDI to transition countries: the use of incentives and promotion </w:t>
      </w:r>
    </w:p>
    <w:p w:rsidR="00FE48A6" w:rsidRDefault="00FE48A6" w:rsidP="008E5660">
      <w:pPr>
        <w:pStyle w:val="Default"/>
        <w:ind w:left="900"/>
      </w:pPr>
      <w:r w:rsidRPr="005C1D3A">
        <w:rPr>
          <w:iCs/>
        </w:rPr>
        <w:t>Agencies”</w:t>
      </w:r>
      <w:r w:rsidRPr="005C1D3A">
        <w:rPr>
          <w:i/>
          <w:iCs/>
        </w:rPr>
        <w:t xml:space="preserve">, Transitional Corporations </w:t>
      </w:r>
      <w:r w:rsidRPr="005C1D3A">
        <w:t>16 (2),</w:t>
      </w:r>
      <w:r>
        <w:t xml:space="preserve"> p. 77</w:t>
      </w:r>
    </w:p>
    <w:p w:rsidR="00FE48A6" w:rsidRPr="008D110F" w:rsidRDefault="00FE48A6" w:rsidP="008E5660">
      <w:pPr>
        <w:pStyle w:val="Default"/>
        <w:ind w:left="900"/>
      </w:pPr>
      <w:r>
        <w:t>[4]</w:t>
      </w:r>
      <w:r w:rsidRPr="008D110F">
        <w:rPr>
          <w:sz w:val="18"/>
          <w:szCs w:val="18"/>
        </w:rPr>
        <w:t xml:space="preserve"> </w:t>
      </w:r>
      <w:r>
        <w:rPr>
          <w:sz w:val="18"/>
          <w:szCs w:val="18"/>
        </w:rPr>
        <w:t xml:space="preserve">  </w:t>
      </w:r>
      <w:r w:rsidRPr="008D110F">
        <w:t>Assuncao, S., R. Forte, and A. C. Teixeira (2011): “</w:t>
      </w:r>
      <w:r w:rsidRPr="008D110F">
        <w:rPr>
          <w:iCs/>
        </w:rPr>
        <w:t xml:space="preserve">Location Determinants of FDI: A </w:t>
      </w:r>
    </w:p>
    <w:p w:rsidR="00FE48A6" w:rsidRDefault="00FE48A6" w:rsidP="008E5660">
      <w:pPr>
        <w:autoSpaceDE w:val="0"/>
        <w:autoSpaceDN w:val="0"/>
        <w:adjustRightInd w:val="0"/>
        <w:spacing w:after="0"/>
        <w:ind w:left="900"/>
        <w:jc w:val="left"/>
        <w:rPr>
          <w:rFonts w:ascii="Times New Roman" w:hAnsi="Times New Roman"/>
          <w:color w:val="000000"/>
          <w:sz w:val="24"/>
          <w:lang w:eastAsia="en-US"/>
        </w:rPr>
      </w:pPr>
      <w:r w:rsidRPr="008D110F">
        <w:rPr>
          <w:rFonts w:ascii="Times New Roman" w:hAnsi="Times New Roman"/>
          <w:iCs/>
          <w:color w:val="000000"/>
          <w:sz w:val="24"/>
          <w:lang w:eastAsia="en-US"/>
        </w:rPr>
        <w:t>Literature Review</w:t>
      </w:r>
      <w:r w:rsidRPr="008D110F">
        <w:rPr>
          <w:rFonts w:ascii="Times New Roman" w:hAnsi="Times New Roman"/>
          <w:color w:val="000000"/>
          <w:sz w:val="24"/>
          <w:lang w:eastAsia="en-US"/>
        </w:rPr>
        <w:t xml:space="preserve">”, </w:t>
      </w:r>
      <w:r w:rsidRPr="008D110F">
        <w:rPr>
          <w:rFonts w:ascii="Times New Roman" w:hAnsi="Times New Roman"/>
          <w:i/>
          <w:color w:val="000000"/>
          <w:sz w:val="24"/>
          <w:lang w:eastAsia="en-US"/>
        </w:rPr>
        <w:t>FEP Working Papers</w:t>
      </w:r>
      <w:r w:rsidRPr="008D110F">
        <w:rPr>
          <w:rFonts w:ascii="Times New Roman" w:hAnsi="Times New Roman"/>
          <w:color w:val="000000"/>
          <w:sz w:val="24"/>
          <w:lang w:eastAsia="en-US"/>
        </w:rPr>
        <w:t>,</w:t>
      </w:r>
      <w:r w:rsidRPr="00002D3E">
        <w:rPr>
          <w:rFonts w:ascii="Times New Roman" w:hAnsi="Times New Roman"/>
          <w:sz w:val="24"/>
          <w:lang w:eastAsia="en-US"/>
        </w:rPr>
        <w:t xml:space="preserve"> Universidade do Porto,</w:t>
      </w:r>
      <w:r>
        <w:rPr>
          <w:rFonts w:ascii="Times New Roman" w:hAnsi="Times New Roman"/>
          <w:sz w:val="24"/>
          <w:lang w:eastAsia="en-US"/>
        </w:rPr>
        <w:t xml:space="preserve"> Faculdade de Economia do Porto, Porto, </w:t>
      </w:r>
      <w:r>
        <w:rPr>
          <w:rFonts w:ascii="Times New Roman" w:hAnsi="Times New Roman"/>
          <w:color w:val="000000"/>
          <w:sz w:val="24"/>
          <w:lang w:eastAsia="en-US"/>
        </w:rPr>
        <w:t>p. 433</w:t>
      </w:r>
    </w:p>
    <w:p w:rsidR="00FE48A6" w:rsidRDefault="00FE48A6" w:rsidP="008E5660">
      <w:pPr>
        <w:pStyle w:val="Default"/>
        <w:ind w:left="900"/>
      </w:pPr>
      <w:r>
        <w:t xml:space="preserve">[5]  </w:t>
      </w:r>
      <w:r w:rsidRPr="008D110F">
        <w:t>Kalotay, K. (2008): “</w:t>
      </w:r>
      <w:r w:rsidRPr="008D110F">
        <w:rPr>
          <w:iCs/>
        </w:rPr>
        <w:t>FDI in Bulgaria and Romania in the Wake of EU Accession</w:t>
      </w:r>
      <w:r w:rsidRPr="008D110F">
        <w:t>”,</w:t>
      </w:r>
      <w:r>
        <w:t xml:space="preserve"> </w:t>
      </w:r>
      <w:r w:rsidRPr="008D110F">
        <w:rPr>
          <w:i/>
        </w:rPr>
        <w:t>Journal of East-West Business</w:t>
      </w:r>
      <w:r w:rsidRPr="008D110F">
        <w:rPr>
          <w:i/>
          <w:iCs/>
        </w:rPr>
        <w:t xml:space="preserve">, </w:t>
      </w:r>
      <w:r>
        <w:t>14(1)</w:t>
      </w:r>
    </w:p>
    <w:p w:rsidR="00FE48A6" w:rsidRDefault="00FE48A6" w:rsidP="008E5660">
      <w:pPr>
        <w:pStyle w:val="Default"/>
        <w:ind w:left="900"/>
        <w:rPr>
          <w:color w:val="FF0000"/>
        </w:rPr>
      </w:pPr>
      <w:r>
        <w:rPr>
          <w:color w:val="FF0000"/>
        </w:rPr>
        <w:t>[6</w:t>
      </w:r>
      <w:r w:rsidRPr="00F823B2">
        <w:rPr>
          <w:color w:val="FF0000"/>
        </w:rPr>
        <w:t xml:space="preserve">] </w:t>
      </w:r>
      <w:r>
        <w:rPr>
          <w:color w:val="FF0000"/>
        </w:rPr>
        <w:t xml:space="preserve"> </w:t>
      </w:r>
      <w:r w:rsidRPr="00F823B2">
        <w:rPr>
          <w:color w:val="FF0000"/>
        </w:rPr>
        <w:t>WiiW database</w:t>
      </w:r>
    </w:p>
    <w:p w:rsidR="00FE48A6" w:rsidRDefault="00FE48A6" w:rsidP="008E5660">
      <w:pPr>
        <w:pStyle w:val="Default"/>
        <w:ind w:left="900"/>
        <w:rPr>
          <w:i/>
        </w:rPr>
      </w:pPr>
      <w:r>
        <w:rPr>
          <w:color w:val="FF0000"/>
        </w:rPr>
        <w:t xml:space="preserve">[7]  </w:t>
      </w:r>
      <w:r w:rsidRPr="00124F23">
        <w:rPr>
          <w:i/>
        </w:rPr>
        <w:t>Official Gazette of the Republic of Macedonia No.</w:t>
      </w:r>
      <w:r w:rsidRPr="00124F23">
        <w:t xml:space="preserve"> </w:t>
      </w:r>
      <w:r>
        <w:rPr>
          <w:i/>
        </w:rPr>
        <w:t>82/08</w:t>
      </w:r>
    </w:p>
    <w:p w:rsidR="00FE48A6" w:rsidRDefault="00FE48A6" w:rsidP="008E5660">
      <w:pPr>
        <w:pStyle w:val="FootnoteText"/>
        <w:tabs>
          <w:tab w:val="left" w:pos="7560"/>
        </w:tabs>
        <w:ind w:left="900" w:right="103"/>
        <w:rPr>
          <w:rFonts w:ascii="Times New Roman" w:hAnsi="Times New Roman"/>
          <w:sz w:val="24"/>
          <w:szCs w:val="24"/>
        </w:rPr>
      </w:pPr>
      <w:r w:rsidRPr="00614E88">
        <w:rPr>
          <w:rFonts w:ascii="Times New Roman" w:hAnsi="Times New Roman"/>
          <w:sz w:val="24"/>
          <w:szCs w:val="24"/>
        </w:rPr>
        <w:t>[8</w:t>
      </w:r>
      <w:r>
        <w:rPr>
          <w:rFonts w:ascii="Times New Roman" w:hAnsi="Times New Roman"/>
          <w:sz w:val="24"/>
          <w:szCs w:val="24"/>
        </w:rPr>
        <w:t xml:space="preserve">]  </w:t>
      </w:r>
      <w:r w:rsidRPr="00614E88">
        <w:rPr>
          <w:rFonts w:ascii="Times New Roman" w:hAnsi="Times New Roman"/>
          <w:sz w:val="24"/>
          <w:szCs w:val="24"/>
        </w:rPr>
        <w:t>Kikerkova, I. (2013). “Empirical Evidence on Foreign Direct Investment Impact upon the Economic</w:t>
      </w:r>
      <w:r w:rsidRPr="00124F23">
        <w:rPr>
          <w:rFonts w:ascii="Times New Roman" w:hAnsi="Times New Roman"/>
          <w:sz w:val="24"/>
          <w:szCs w:val="24"/>
        </w:rPr>
        <w:t xml:space="preserve"> Grow</w:t>
      </w:r>
      <w:r>
        <w:rPr>
          <w:rFonts w:ascii="Times New Roman" w:hAnsi="Times New Roman"/>
          <w:sz w:val="24"/>
          <w:szCs w:val="24"/>
        </w:rPr>
        <w:t xml:space="preserve">th of the Republic of Macedonia”, </w:t>
      </w:r>
      <w:r w:rsidRPr="004455A4">
        <w:rPr>
          <w:rFonts w:ascii="Times New Roman" w:hAnsi="Times New Roman"/>
          <w:i/>
          <w:sz w:val="24"/>
          <w:szCs w:val="24"/>
        </w:rPr>
        <w:t>Scientific Conference on Innovative Approaches to the Contemporary Economic Problems, 27-29 September</w:t>
      </w:r>
      <w:r>
        <w:rPr>
          <w:rFonts w:ascii="Times New Roman" w:hAnsi="Times New Roman"/>
          <w:sz w:val="24"/>
          <w:szCs w:val="24"/>
        </w:rPr>
        <w:t xml:space="preserve"> </w:t>
      </w:r>
      <w:r w:rsidRPr="004455A4">
        <w:rPr>
          <w:rFonts w:ascii="Times New Roman" w:hAnsi="Times New Roman"/>
          <w:i/>
          <w:sz w:val="24"/>
          <w:szCs w:val="24"/>
        </w:rPr>
        <w:t>2013</w:t>
      </w:r>
      <w:r>
        <w:rPr>
          <w:rFonts w:ascii="Times New Roman" w:hAnsi="Times New Roman"/>
          <w:sz w:val="24"/>
          <w:szCs w:val="24"/>
        </w:rPr>
        <w:t xml:space="preserve"> Dubrovnik, Croatia, </w:t>
      </w:r>
      <w:r w:rsidRPr="00054BF6">
        <w:rPr>
          <w:rFonts w:ascii="Times New Roman" w:hAnsi="Times New Roman"/>
          <w:sz w:val="24"/>
          <w:szCs w:val="24"/>
        </w:rPr>
        <w:t>University of Dubrovnik, Department of Economics and Business Economics</w:t>
      </w:r>
      <w:r>
        <w:rPr>
          <w:rFonts w:ascii="Times New Roman" w:hAnsi="Times New Roman"/>
          <w:sz w:val="24"/>
          <w:szCs w:val="24"/>
        </w:rPr>
        <w:t>, p. 14</w:t>
      </w:r>
    </w:p>
    <w:p w:rsidR="00FE48A6" w:rsidRDefault="00FE48A6" w:rsidP="008E5660">
      <w:pPr>
        <w:spacing w:after="0"/>
        <w:ind w:left="900"/>
        <w:rPr>
          <w:rFonts w:ascii="Times New Roman" w:hAnsi="Times New Roman"/>
          <w:sz w:val="24"/>
        </w:rPr>
      </w:pPr>
      <w:r>
        <w:rPr>
          <w:rFonts w:ascii="Times New Roman" w:hAnsi="Times New Roman"/>
          <w:sz w:val="24"/>
        </w:rPr>
        <w:t xml:space="preserve">[9] </w:t>
      </w:r>
      <w:hyperlink r:id="rId13" w:history="1">
        <w:r w:rsidRPr="007D618C">
          <w:rPr>
            <w:rStyle w:val="Hyperlink"/>
            <w:rFonts w:ascii="Times New Roman" w:hAnsi="Times New Roman"/>
            <w:sz w:val="24"/>
          </w:rPr>
          <w:t>www.nbrm.gov</w:t>
        </w:r>
      </w:hyperlink>
      <w:r>
        <w:rPr>
          <w:rFonts w:ascii="Times New Roman" w:hAnsi="Times New Roman"/>
          <w:sz w:val="24"/>
        </w:rPr>
        <w:t>.mk</w:t>
      </w:r>
    </w:p>
    <w:p w:rsidR="00FE48A6" w:rsidRDefault="00FE48A6" w:rsidP="008E5660">
      <w:pPr>
        <w:spacing w:after="0"/>
        <w:ind w:left="900"/>
        <w:rPr>
          <w:rFonts w:ascii="Times New Roman" w:hAnsi="Times New Roman"/>
          <w:bCs/>
          <w:sz w:val="24"/>
        </w:rPr>
      </w:pPr>
      <w:r>
        <w:rPr>
          <w:rFonts w:ascii="Times New Roman" w:hAnsi="Times New Roman"/>
          <w:sz w:val="24"/>
        </w:rPr>
        <w:lastRenderedPageBreak/>
        <w:t>[10]</w:t>
      </w:r>
      <w:r w:rsidRPr="00F03C66">
        <w:t xml:space="preserve"> </w:t>
      </w:r>
      <w:r>
        <w:rPr>
          <w:rFonts w:ascii="Times New Roman" w:hAnsi="Times New Roman"/>
          <w:sz w:val="24"/>
        </w:rPr>
        <w:t>ZMAI (</w:t>
      </w:r>
      <w:r w:rsidRPr="00517EAC">
        <w:rPr>
          <w:rFonts w:ascii="Times New Roman" w:hAnsi="Times New Roman"/>
          <w:sz w:val="24"/>
        </w:rPr>
        <w:t>2015)</w:t>
      </w:r>
      <w:r>
        <w:rPr>
          <w:rFonts w:ascii="Times New Roman" w:hAnsi="Times New Roman"/>
          <w:sz w:val="24"/>
        </w:rPr>
        <w:t>:</w:t>
      </w:r>
      <w:r w:rsidRPr="00517EAC">
        <w:rPr>
          <w:rFonts w:ascii="Times New Roman" w:hAnsi="Times New Roman"/>
          <w:sz w:val="24"/>
        </w:rPr>
        <w:t xml:space="preserve"> </w:t>
      </w:r>
      <w:r w:rsidRPr="00517EAC">
        <w:rPr>
          <w:rFonts w:ascii="Times New Roman" w:hAnsi="Times New Roman"/>
          <w:bCs/>
          <w:i/>
          <w:sz w:val="24"/>
        </w:rPr>
        <w:t xml:space="preserve">The effect of the subsidized foreign direct investment upon the Macedonian </w:t>
      </w:r>
      <w:r>
        <w:rPr>
          <w:rFonts w:ascii="Times New Roman" w:hAnsi="Times New Roman"/>
          <w:bCs/>
          <w:i/>
          <w:sz w:val="24"/>
        </w:rPr>
        <w:t xml:space="preserve">  </w:t>
      </w:r>
      <w:r w:rsidRPr="00517EAC">
        <w:rPr>
          <w:rFonts w:ascii="Times New Roman" w:hAnsi="Times New Roman"/>
          <w:bCs/>
          <w:i/>
          <w:sz w:val="24"/>
        </w:rPr>
        <w:t xml:space="preserve">economy, </w:t>
      </w:r>
      <w:r w:rsidRPr="00517EAC">
        <w:rPr>
          <w:rFonts w:ascii="Times New Roman" w:hAnsi="Times New Roman"/>
          <w:bCs/>
          <w:sz w:val="24"/>
        </w:rPr>
        <w:t>Brochure II part, ZMAI, U</w:t>
      </w:r>
      <w:r>
        <w:rPr>
          <w:rFonts w:ascii="Times New Roman" w:hAnsi="Times New Roman"/>
          <w:bCs/>
          <w:sz w:val="24"/>
        </w:rPr>
        <w:t>SAID and the Foundation of the Opened S</w:t>
      </w:r>
      <w:r w:rsidRPr="00517EAC">
        <w:rPr>
          <w:rFonts w:ascii="Times New Roman" w:hAnsi="Times New Roman"/>
          <w:bCs/>
          <w:sz w:val="24"/>
        </w:rPr>
        <w:t>ociety, (in Macedonian la</w:t>
      </w:r>
      <w:r>
        <w:rPr>
          <w:rFonts w:ascii="Times New Roman" w:hAnsi="Times New Roman"/>
          <w:bCs/>
          <w:sz w:val="24"/>
        </w:rPr>
        <w:t>nguage), Skopje, p. 8</w:t>
      </w:r>
    </w:p>
    <w:p w:rsidR="00FE48A6" w:rsidRDefault="00FE48A6" w:rsidP="008E5660">
      <w:pPr>
        <w:autoSpaceDE w:val="0"/>
        <w:autoSpaceDN w:val="0"/>
        <w:adjustRightInd w:val="0"/>
        <w:spacing w:after="0"/>
        <w:ind w:left="900"/>
        <w:rPr>
          <w:rFonts w:ascii="TimesNewRoman,Bold" w:hAnsi="TimesNewRoman,Bold" w:cs="TimesNewRoman,Bold"/>
          <w:bCs/>
          <w:sz w:val="24"/>
        </w:rPr>
      </w:pPr>
      <w:r w:rsidRPr="00556E09">
        <w:rPr>
          <w:rFonts w:ascii="Times New Roman" w:hAnsi="Times New Roman"/>
          <w:bCs/>
          <w:sz w:val="24"/>
        </w:rPr>
        <w:t xml:space="preserve">[11] </w:t>
      </w:r>
      <w:r>
        <w:rPr>
          <w:rFonts w:ascii="Times New Roman" w:hAnsi="Times New Roman"/>
          <w:bCs/>
          <w:sz w:val="24"/>
        </w:rPr>
        <w:t xml:space="preserve">Kikerkova, I. 7 all : </w:t>
      </w:r>
      <w:r w:rsidRPr="00556E09">
        <w:rPr>
          <w:rFonts w:ascii="TimesNewRoman,Bold" w:hAnsi="TimesNewRoman,Bold" w:cs="TimesNewRoman,Bold"/>
          <w:bCs/>
          <w:sz w:val="24"/>
        </w:rPr>
        <w:t>“Vector Error Correction Model on FDI and Their Impact in the Republic of Macedonia</w:t>
      </w:r>
      <w:r>
        <w:rPr>
          <w:rFonts w:ascii="TimesNewRoman,Bold" w:hAnsi="TimesNewRoman,Bold" w:cs="TimesNewRoman,Bold"/>
          <w:bCs/>
          <w:sz w:val="24"/>
        </w:rPr>
        <w:t xml:space="preserve">” </w:t>
      </w:r>
      <w:r w:rsidRPr="00556E09">
        <w:rPr>
          <w:rFonts w:ascii="TimesNewRoman,Bold" w:hAnsi="TimesNewRoman,Bold" w:cs="TimesNewRoman,Bold"/>
          <w:bCs/>
          <w:sz w:val="24"/>
        </w:rPr>
        <w:t xml:space="preserve"> in </w:t>
      </w:r>
      <w:r w:rsidRPr="00556E09">
        <w:rPr>
          <w:rFonts w:ascii="TimesNewRoman,Bold" w:hAnsi="TimesNewRoman,Bold" w:cs="TimesNewRoman,Bold"/>
          <w:bCs/>
          <w:i/>
          <w:sz w:val="24"/>
        </w:rPr>
        <w:t xml:space="preserve">Zagreb International Review of Economics and Business, </w:t>
      </w:r>
      <w:r w:rsidRPr="00556E09">
        <w:rPr>
          <w:rFonts w:ascii="TimesNewRoman,Bold" w:hAnsi="TimesNewRoman,Bold" w:cs="TimesNewRoman,Bold"/>
          <w:bCs/>
          <w:sz w:val="24"/>
        </w:rPr>
        <w:t xml:space="preserve">Vol. XXI, </w:t>
      </w:r>
      <w:r>
        <w:rPr>
          <w:rFonts w:ascii="TimesNewRoman,Bold" w:hAnsi="TimesNewRoman,Bold" w:cs="TimesNewRoman,Bold"/>
          <w:bCs/>
          <w:sz w:val="24"/>
        </w:rPr>
        <w:t>No. 2, Zagreb, November, 2018, pp. 19-36</w:t>
      </w:r>
    </w:p>
    <w:p w:rsidR="00FE48A6" w:rsidRDefault="00FE48A6" w:rsidP="008E5660">
      <w:pPr>
        <w:autoSpaceDE w:val="0"/>
        <w:autoSpaceDN w:val="0"/>
        <w:adjustRightInd w:val="0"/>
        <w:spacing w:after="0"/>
        <w:ind w:left="900"/>
        <w:rPr>
          <w:rFonts w:ascii="TimesNewRoman,Bold" w:hAnsi="TimesNewRoman,Bold" w:cs="TimesNewRoman,Bold"/>
          <w:bCs/>
          <w:sz w:val="24"/>
        </w:rPr>
      </w:pPr>
      <w:r>
        <w:rPr>
          <w:rFonts w:ascii="TimesNewRoman,Bold" w:hAnsi="TimesNewRoman,Bold" w:cs="TimesNewRoman,Bold"/>
          <w:bCs/>
          <w:sz w:val="24"/>
        </w:rPr>
        <w:t>[12] “Law on financial support of investment” (in Macedonian language),</w:t>
      </w:r>
    </w:p>
    <w:p w:rsidR="00FE48A6" w:rsidRDefault="00FE48A6" w:rsidP="008E5660">
      <w:pPr>
        <w:autoSpaceDE w:val="0"/>
        <w:autoSpaceDN w:val="0"/>
        <w:adjustRightInd w:val="0"/>
        <w:spacing w:after="0"/>
        <w:ind w:left="900"/>
        <w:rPr>
          <w:rFonts w:ascii="TimesNewRoman,Bold" w:hAnsi="TimesNewRoman,Bold" w:cs="TimesNewRoman,Bold"/>
          <w:bCs/>
          <w:sz w:val="24"/>
        </w:rPr>
      </w:pPr>
      <w:r>
        <w:rPr>
          <w:rFonts w:ascii="TimesNewRoman,Bold" w:hAnsi="TimesNewRoman,Bold" w:cs="TimesNewRoman,Bold"/>
          <w:bCs/>
          <w:sz w:val="24"/>
        </w:rPr>
        <w:t xml:space="preserve"> </w:t>
      </w:r>
      <w:hyperlink r:id="rId14" w:history="1">
        <w:r w:rsidRPr="0009497B">
          <w:rPr>
            <w:rStyle w:val="Hyperlink"/>
            <w:rFonts w:ascii="TimesNewRoman,Bold" w:hAnsi="TimesNewRoman,Bold" w:cs="TimesNewRoman,Bold"/>
            <w:bCs/>
            <w:sz w:val="24"/>
          </w:rPr>
          <w:t>www.economy.gov.mk</w:t>
        </w:r>
      </w:hyperlink>
      <w:r>
        <w:rPr>
          <w:rFonts w:ascii="TimesNewRoman,Bold" w:hAnsi="TimesNewRoman,Bold" w:cs="TimesNewRoman,Bold"/>
          <w:bCs/>
          <w:sz w:val="24"/>
        </w:rPr>
        <w:t>, last accessed on the 21</w:t>
      </w:r>
      <w:r w:rsidRPr="001D36EA">
        <w:rPr>
          <w:rFonts w:ascii="TimesNewRoman,Bold" w:hAnsi="TimesNewRoman,Bold" w:cs="TimesNewRoman,Bold"/>
          <w:bCs/>
          <w:sz w:val="24"/>
          <w:vertAlign w:val="superscript"/>
        </w:rPr>
        <w:t>st</w:t>
      </w:r>
      <w:r>
        <w:rPr>
          <w:rFonts w:ascii="TimesNewRoman,Bold" w:hAnsi="TimesNewRoman,Bold" w:cs="TimesNewRoman,Bold"/>
          <w:bCs/>
          <w:sz w:val="24"/>
        </w:rPr>
        <w:t xml:space="preserve"> of May, 2019, pp. 3-4</w:t>
      </w:r>
    </w:p>
    <w:p w:rsidR="00FE48A6" w:rsidRDefault="00FE48A6" w:rsidP="008E5660">
      <w:pPr>
        <w:autoSpaceDE w:val="0"/>
        <w:autoSpaceDN w:val="0"/>
        <w:adjustRightInd w:val="0"/>
        <w:spacing w:after="0"/>
        <w:ind w:left="900"/>
        <w:rPr>
          <w:rFonts w:ascii="TimesNewRoman,Bold" w:hAnsi="TimesNewRoman,Bold" w:cs="TimesNewRoman,Bold"/>
          <w:bCs/>
          <w:sz w:val="24"/>
        </w:rPr>
      </w:pPr>
      <w:r>
        <w:rPr>
          <w:rFonts w:ascii="Times New Roman" w:hAnsi="Times New Roman"/>
        </w:rPr>
        <w:t xml:space="preserve"> [13] </w:t>
      </w:r>
      <w:r>
        <w:rPr>
          <w:rFonts w:ascii="TimesNewRoman,Bold" w:hAnsi="TimesNewRoman,Bold" w:cs="TimesNewRoman,Bold"/>
          <w:bCs/>
          <w:sz w:val="24"/>
        </w:rPr>
        <w:t>“Law on financial support of investment” (in Macedonian language),</w:t>
      </w:r>
    </w:p>
    <w:p w:rsidR="00FE48A6" w:rsidRDefault="00FE48A6" w:rsidP="008E5660">
      <w:pPr>
        <w:autoSpaceDE w:val="0"/>
        <w:autoSpaceDN w:val="0"/>
        <w:adjustRightInd w:val="0"/>
        <w:spacing w:after="0"/>
        <w:ind w:left="900"/>
        <w:rPr>
          <w:rFonts w:ascii="TimesNewRoman,Bold" w:hAnsi="TimesNewRoman,Bold" w:cs="TimesNewRoman,Bold"/>
          <w:bCs/>
          <w:sz w:val="24"/>
        </w:rPr>
      </w:pPr>
      <w:r>
        <w:rPr>
          <w:rFonts w:ascii="TimesNewRoman,Bold" w:hAnsi="TimesNewRoman,Bold" w:cs="TimesNewRoman,Bold"/>
          <w:bCs/>
          <w:sz w:val="24"/>
        </w:rPr>
        <w:t xml:space="preserve"> </w:t>
      </w:r>
      <w:hyperlink r:id="rId15" w:history="1">
        <w:r w:rsidRPr="0009497B">
          <w:rPr>
            <w:rStyle w:val="Hyperlink"/>
            <w:rFonts w:ascii="TimesNewRoman,Bold" w:hAnsi="TimesNewRoman,Bold" w:cs="TimesNewRoman,Bold"/>
            <w:bCs/>
            <w:sz w:val="24"/>
          </w:rPr>
          <w:t>www.economy.gov.mk</w:t>
        </w:r>
      </w:hyperlink>
      <w:r>
        <w:rPr>
          <w:rFonts w:ascii="TimesNewRoman,Bold" w:hAnsi="TimesNewRoman,Bold" w:cs="TimesNewRoman,Bold"/>
          <w:bCs/>
          <w:sz w:val="24"/>
        </w:rPr>
        <w:t>, last accessed on the 21</w:t>
      </w:r>
      <w:r w:rsidRPr="001D36EA">
        <w:rPr>
          <w:rFonts w:ascii="TimesNewRoman,Bold" w:hAnsi="TimesNewRoman,Bold" w:cs="TimesNewRoman,Bold"/>
          <w:bCs/>
          <w:sz w:val="24"/>
          <w:vertAlign w:val="superscript"/>
        </w:rPr>
        <w:t>st</w:t>
      </w:r>
      <w:r>
        <w:rPr>
          <w:rFonts w:ascii="TimesNewRoman,Bold" w:hAnsi="TimesNewRoman,Bold" w:cs="TimesNewRoman,Bold"/>
          <w:bCs/>
          <w:sz w:val="24"/>
        </w:rPr>
        <w:t xml:space="preserve"> of May, 2019, pp. 4-5</w:t>
      </w:r>
    </w:p>
    <w:p w:rsidR="00FE48A6" w:rsidRDefault="00FE48A6" w:rsidP="008E5660">
      <w:pPr>
        <w:autoSpaceDE w:val="0"/>
        <w:autoSpaceDN w:val="0"/>
        <w:adjustRightInd w:val="0"/>
        <w:spacing w:after="0"/>
        <w:ind w:left="900"/>
        <w:rPr>
          <w:rFonts w:ascii="TimesNewRoman,Bold" w:hAnsi="TimesNewRoman,Bold" w:cs="TimesNewRoman,Bold"/>
          <w:bCs/>
          <w:sz w:val="24"/>
        </w:rPr>
      </w:pPr>
      <w:r>
        <w:rPr>
          <w:rFonts w:ascii="TimesNewRoman,Bold" w:hAnsi="TimesNewRoman,Bold" w:cs="TimesNewRoman,Bold"/>
          <w:bCs/>
          <w:sz w:val="24"/>
        </w:rPr>
        <w:t>[14] “Law on financial support of investment” (in Macedonian language),</w:t>
      </w:r>
    </w:p>
    <w:p w:rsidR="00FE48A6" w:rsidRDefault="00FE48A6" w:rsidP="008E5660">
      <w:pPr>
        <w:autoSpaceDE w:val="0"/>
        <w:autoSpaceDN w:val="0"/>
        <w:adjustRightInd w:val="0"/>
        <w:spacing w:after="0"/>
        <w:ind w:left="900"/>
        <w:rPr>
          <w:rFonts w:ascii="TimesNewRoman,Bold" w:hAnsi="TimesNewRoman,Bold" w:cs="TimesNewRoman,Bold"/>
          <w:bCs/>
          <w:sz w:val="24"/>
        </w:rPr>
      </w:pPr>
      <w:r>
        <w:rPr>
          <w:rFonts w:ascii="TimesNewRoman,Bold" w:hAnsi="TimesNewRoman,Bold" w:cs="TimesNewRoman,Bold"/>
          <w:bCs/>
          <w:sz w:val="24"/>
        </w:rPr>
        <w:t xml:space="preserve"> </w:t>
      </w:r>
      <w:hyperlink r:id="rId16" w:history="1">
        <w:r w:rsidRPr="0009497B">
          <w:rPr>
            <w:rStyle w:val="Hyperlink"/>
            <w:rFonts w:ascii="TimesNewRoman,Bold" w:hAnsi="TimesNewRoman,Bold" w:cs="TimesNewRoman,Bold"/>
            <w:bCs/>
            <w:sz w:val="24"/>
          </w:rPr>
          <w:t>www.economy.gov.mk</w:t>
        </w:r>
      </w:hyperlink>
      <w:r>
        <w:rPr>
          <w:rFonts w:ascii="TimesNewRoman,Bold" w:hAnsi="TimesNewRoman,Bold" w:cs="TimesNewRoman,Bold"/>
          <w:bCs/>
          <w:sz w:val="24"/>
        </w:rPr>
        <w:t>, last accessed on the 21</w:t>
      </w:r>
      <w:r w:rsidRPr="001D36EA">
        <w:rPr>
          <w:rFonts w:ascii="TimesNewRoman,Bold" w:hAnsi="TimesNewRoman,Bold" w:cs="TimesNewRoman,Bold"/>
          <w:bCs/>
          <w:sz w:val="24"/>
          <w:vertAlign w:val="superscript"/>
        </w:rPr>
        <w:t>st</w:t>
      </w:r>
      <w:r>
        <w:rPr>
          <w:rFonts w:ascii="TimesNewRoman,Bold" w:hAnsi="TimesNewRoman,Bold" w:cs="TimesNewRoman,Bold"/>
          <w:bCs/>
          <w:sz w:val="24"/>
        </w:rPr>
        <w:t xml:space="preserve"> of May, 2019, pp. 6-7</w:t>
      </w:r>
    </w:p>
    <w:p w:rsidR="00FE48A6" w:rsidRDefault="00FE48A6" w:rsidP="008E5660">
      <w:pPr>
        <w:autoSpaceDE w:val="0"/>
        <w:autoSpaceDN w:val="0"/>
        <w:adjustRightInd w:val="0"/>
        <w:spacing w:after="0"/>
        <w:ind w:left="900"/>
        <w:rPr>
          <w:rFonts w:ascii="TimesNewRoman,Bold" w:hAnsi="TimesNewRoman,Bold" w:cs="TimesNewRoman,Bold"/>
          <w:bCs/>
          <w:sz w:val="24"/>
        </w:rPr>
      </w:pPr>
      <w:r>
        <w:rPr>
          <w:rFonts w:ascii="TimesNewRoman,Bold" w:hAnsi="TimesNewRoman,Bold" w:cs="TimesNewRoman,Bold"/>
          <w:bCs/>
          <w:sz w:val="24"/>
        </w:rPr>
        <w:t>[15]</w:t>
      </w:r>
      <w:r w:rsidRPr="00215CED">
        <w:rPr>
          <w:rFonts w:ascii="TimesNewRoman,Bold" w:hAnsi="TimesNewRoman,Bold" w:cs="TimesNewRoman,Bold"/>
          <w:bCs/>
          <w:sz w:val="24"/>
        </w:rPr>
        <w:t xml:space="preserve"> </w:t>
      </w:r>
      <w:r>
        <w:rPr>
          <w:rFonts w:ascii="TimesNewRoman,Bold" w:hAnsi="TimesNewRoman,Bold" w:cs="TimesNewRoman,Bold"/>
          <w:bCs/>
          <w:sz w:val="24"/>
        </w:rPr>
        <w:t>“Law on financial support of investment” (in Macedonian language),</w:t>
      </w:r>
    </w:p>
    <w:p w:rsidR="00FE48A6" w:rsidRDefault="00FE48A6" w:rsidP="008E5660">
      <w:pPr>
        <w:autoSpaceDE w:val="0"/>
        <w:autoSpaceDN w:val="0"/>
        <w:adjustRightInd w:val="0"/>
        <w:spacing w:after="0"/>
        <w:ind w:left="900"/>
        <w:rPr>
          <w:rFonts w:ascii="TimesNewRoman,Bold" w:hAnsi="TimesNewRoman,Bold" w:cs="TimesNewRoman,Bold"/>
          <w:bCs/>
          <w:sz w:val="24"/>
        </w:rPr>
      </w:pPr>
      <w:r>
        <w:rPr>
          <w:rFonts w:ascii="TimesNewRoman,Bold" w:hAnsi="TimesNewRoman,Bold" w:cs="TimesNewRoman,Bold"/>
          <w:bCs/>
          <w:sz w:val="24"/>
        </w:rPr>
        <w:t xml:space="preserve"> </w:t>
      </w:r>
      <w:hyperlink r:id="rId17" w:history="1">
        <w:r w:rsidRPr="0009497B">
          <w:rPr>
            <w:rStyle w:val="Hyperlink"/>
            <w:rFonts w:ascii="TimesNewRoman,Bold" w:hAnsi="TimesNewRoman,Bold" w:cs="TimesNewRoman,Bold"/>
            <w:bCs/>
            <w:sz w:val="24"/>
          </w:rPr>
          <w:t>www.economy.gov.mk</w:t>
        </w:r>
      </w:hyperlink>
      <w:r>
        <w:rPr>
          <w:rFonts w:ascii="TimesNewRoman,Bold" w:hAnsi="TimesNewRoman,Bold" w:cs="TimesNewRoman,Bold"/>
          <w:bCs/>
          <w:sz w:val="24"/>
        </w:rPr>
        <w:t>, last accessed on the 21</w:t>
      </w:r>
      <w:r w:rsidRPr="001D36EA">
        <w:rPr>
          <w:rFonts w:ascii="TimesNewRoman,Bold" w:hAnsi="TimesNewRoman,Bold" w:cs="TimesNewRoman,Bold"/>
          <w:bCs/>
          <w:sz w:val="24"/>
          <w:vertAlign w:val="superscript"/>
        </w:rPr>
        <w:t>st</w:t>
      </w:r>
      <w:r>
        <w:rPr>
          <w:rFonts w:ascii="TimesNewRoman,Bold" w:hAnsi="TimesNewRoman,Bold" w:cs="TimesNewRoman,Bold"/>
          <w:bCs/>
          <w:sz w:val="24"/>
        </w:rPr>
        <w:t xml:space="preserve"> of May, 2019, p. 8</w:t>
      </w:r>
    </w:p>
    <w:p w:rsidR="00FE48A6" w:rsidRDefault="00FE48A6" w:rsidP="008E5660">
      <w:pPr>
        <w:autoSpaceDE w:val="0"/>
        <w:autoSpaceDN w:val="0"/>
        <w:adjustRightInd w:val="0"/>
        <w:spacing w:after="0"/>
        <w:ind w:left="900"/>
        <w:rPr>
          <w:rFonts w:ascii="TimesNewRoman,Bold" w:hAnsi="TimesNewRoman,Bold" w:cs="TimesNewRoman,Bold"/>
          <w:bCs/>
          <w:sz w:val="24"/>
        </w:rPr>
      </w:pPr>
      <w:r>
        <w:rPr>
          <w:rFonts w:ascii="TimesNewRoman,Bold" w:hAnsi="TimesNewRoman,Bold" w:cs="TimesNewRoman,Bold"/>
          <w:bCs/>
          <w:sz w:val="24"/>
        </w:rPr>
        <w:t>[16]</w:t>
      </w:r>
      <w:r w:rsidRPr="00215CED">
        <w:rPr>
          <w:rFonts w:ascii="TimesNewRoman,Bold" w:hAnsi="TimesNewRoman,Bold" w:cs="TimesNewRoman,Bold"/>
          <w:bCs/>
          <w:sz w:val="24"/>
        </w:rPr>
        <w:t xml:space="preserve"> </w:t>
      </w:r>
      <w:r>
        <w:rPr>
          <w:rFonts w:ascii="TimesNewRoman,Bold" w:hAnsi="TimesNewRoman,Bold" w:cs="TimesNewRoman,Bold"/>
          <w:bCs/>
          <w:sz w:val="24"/>
        </w:rPr>
        <w:t>“Law on financial support of investment” (in Macedonian language),</w:t>
      </w:r>
    </w:p>
    <w:p w:rsidR="00FE48A6" w:rsidRDefault="00FE48A6" w:rsidP="008E5660">
      <w:pPr>
        <w:autoSpaceDE w:val="0"/>
        <w:autoSpaceDN w:val="0"/>
        <w:adjustRightInd w:val="0"/>
        <w:spacing w:after="0"/>
        <w:ind w:left="900"/>
        <w:rPr>
          <w:rFonts w:ascii="TimesNewRoman,Bold" w:hAnsi="TimesNewRoman,Bold" w:cs="TimesNewRoman,Bold"/>
          <w:bCs/>
          <w:sz w:val="24"/>
        </w:rPr>
      </w:pPr>
      <w:r>
        <w:rPr>
          <w:rFonts w:ascii="TimesNewRoman,Bold" w:hAnsi="TimesNewRoman,Bold" w:cs="TimesNewRoman,Bold"/>
          <w:bCs/>
          <w:sz w:val="24"/>
        </w:rPr>
        <w:t xml:space="preserve"> </w:t>
      </w:r>
      <w:hyperlink r:id="rId18" w:history="1">
        <w:r w:rsidRPr="0009497B">
          <w:rPr>
            <w:rStyle w:val="Hyperlink"/>
            <w:rFonts w:ascii="TimesNewRoman,Bold" w:hAnsi="TimesNewRoman,Bold" w:cs="TimesNewRoman,Bold"/>
            <w:bCs/>
            <w:sz w:val="24"/>
          </w:rPr>
          <w:t>www.economy.gov.mk</w:t>
        </w:r>
      </w:hyperlink>
      <w:r>
        <w:rPr>
          <w:rFonts w:ascii="TimesNewRoman,Bold" w:hAnsi="TimesNewRoman,Bold" w:cs="TimesNewRoman,Bold"/>
          <w:bCs/>
          <w:sz w:val="24"/>
        </w:rPr>
        <w:t>, last accessed on the 21</w:t>
      </w:r>
      <w:r w:rsidRPr="001D36EA">
        <w:rPr>
          <w:rFonts w:ascii="TimesNewRoman,Bold" w:hAnsi="TimesNewRoman,Bold" w:cs="TimesNewRoman,Bold"/>
          <w:bCs/>
          <w:sz w:val="24"/>
          <w:vertAlign w:val="superscript"/>
        </w:rPr>
        <w:t>st</w:t>
      </w:r>
      <w:r>
        <w:rPr>
          <w:rFonts w:ascii="TimesNewRoman,Bold" w:hAnsi="TimesNewRoman,Bold" w:cs="TimesNewRoman,Bold"/>
          <w:bCs/>
          <w:sz w:val="24"/>
        </w:rPr>
        <w:t xml:space="preserve"> of May, 2019, pp. 1-16</w:t>
      </w:r>
    </w:p>
    <w:p w:rsidR="00FE48A6" w:rsidRDefault="00FE48A6" w:rsidP="008E5660">
      <w:pPr>
        <w:autoSpaceDE w:val="0"/>
        <w:autoSpaceDN w:val="0"/>
        <w:adjustRightInd w:val="0"/>
        <w:spacing w:after="0"/>
        <w:ind w:left="900"/>
        <w:rPr>
          <w:rFonts w:ascii="TimesNewRoman,Bold" w:hAnsi="TimesNewRoman,Bold" w:cs="TimesNewRoman,Bold"/>
          <w:bCs/>
          <w:sz w:val="24"/>
        </w:rPr>
      </w:pPr>
    </w:p>
    <w:p w:rsidR="00FE48A6" w:rsidRDefault="00FE48A6" w:rsidP="008E5660">
      <w:pPr>
        <w:autoSpaceDE w:val="0"/>
        <w:autoSpaceDN w:val="0"/>
        <w:adjustRightInd w:val="0"/>
        <w:spacing w:after="0"/>
        <w:ind w:left="900"/>
        <w:rPr>
          <w:rFonts w:ascii="TimesNewRoman,Bold" w:hAnsi="TimesNewRoman,Bold" w:cs="TimesNewRoman,Bold"/>
          <w:bCs/>
          <w:sz w:val="24"/>
        </w:rPr>
      </w:pPr>
    </w:p>
    <w:p w:rsidR="00FE48A6" w:rsidRPr="00124F23" w:rsidRDefault="00FE48A6" w:rsidP="008E5660">
      <w:pPr>
        <w:autoSpaceDE w:val="0"/>
        <w:autoSpaceDN w:val="0"/>
        <w:adjustRightInd w:val="0"/>
        <w:spacing w:after="0" w:line="480" w:lineRule="auto"/>
        <w:ind w:left="900"/>
        <w:rPr>
          <w:rFonts w:ascii="Times New Roman" w:hAnsi="Times New Roman"/>
          <w:b/>
          <w:sz w:val="24"/>
        </w:rPr>
      </w:pPr>
      <w:r>
        <w:rPr>
          <w:rFonts w:ascii="TimesNewRoman,Bold" w:hAnsi="TimesNewRoman,Bold" w:cs="TimesNewRoman,Bold"/>
          <w:bCs/>
          <w:sz w:val="24"/>
        </w:rPr>
        <w:br w:type="column"/>
      </w:r>
      <w:r w:rsidRPr="00124F23">
        <w:rPr>
          <w:rFonts w:ascii="Times New Roman" w:hAnsi="Times New Roman"/>
          <w:bCs/>
          <w:sz w:val="24"/>
        </w:rPr>
        <w:lastRenderedPageBreak/>
        <w:tab/>
      </w:r>
    </w:p>
    <w:p w:rsidR="00FE48A6" w:rsidRDefault="00FE48A6" w:rsidP="008E5660">
      <w:pPr>
        <w:pStyle w:val="ListParagraph"/>
        <w:tabs>
          <w:tab w:val="left" w:pos="4800"/>
        </w:tabs>
        <w:autoSpaceDE w:val="0"/>
        <w:autoSpaceDN w:val="0"/>
        <w:adjustRightInd w:val="0"/>
        <w:spacing w:after="0"/>
        <w:ind w:left="900"/>
        <w:rPr>
          <w:rFonts w:ascii="Times New Roman" w:hAnsi="Times New Roman"/>
          <w:b/>
        </w:rPr>
      </w:pPr>
      <w:r>
        <w:rPr>
          <w:rFonts w:ascii="Times New Roman" w:hAnsi="Times New Roman"/>
          <w:b/>
        </w:rPr>
        <w:t xml:space="preserve">APENDIX I </w:t>
      </w:r>
    </w:p>
    <w:p w:rsidR="00FE48A6" w:rsidRDefault="00FE48A6" w:rsidP="008E5660">
      <w:pPr>
        <w:pStyle w:val="ListParagraph"/>
        <w:tabs>
          <w:tab w:val="left" w:pos="4800"/>
        </w:tabs>
        <w:autoSpaceDE w:val="0"/>
        <w:autoSpaceDN w:val="0"/>
        <w:adjustRightInd w:val="0"/>
        <w:spacing w:after="0"/>
        <w:ind w:left="900"/>
        <w:rPr>
          <w:rFonts w:ascii="Times New Roman" w:hAnsi="Times New Roman"/>
          <w:b/>
        </w:rPr>
      </w:pPr>
    </w:p>
    <w:p w:rsidR="00FE48A6" w:rsidRPr="00124F23" w:rsidRDefault="00FE48A6" w:rsidP="008E5660">
      <w:pPr>
        <w:pStyle w:val="ListParagraph"/>
        <w:tabs>
          <w:tab w:val="left" w:pos="4800"/>
        </w:tabs>
        <w:autoSpaceDE w:val="0"/>
        <w:autoSpaceDN w:val="0"/>
        <w:adjustRightInd w:val="0"/>
        <w:spacing w:after="0"/>
        <w:ind w:left="900"/>
        <w:rPr>
          <w:rFonts w:ascii="Times New Roman" w:hAnsi="Times New Roman"/>
          <w:b/>
        </w:rPr>
      </w:pPr>
      <w:r w:rsidRPr="00124F23">
        <w:rPr>
          <w:rFonts w:ascii="Times New Roman" w:hAnsi="Times New Roman"/>
          <w:b/>
        </w:rPr>
        <w:t>THE LONG-RUN TREND OF THE FDI/GDP INDICATOR IN MACEDONIA</w:t>
      </w:r>
    </w:p>
    <w:p w:rsidR="00FE48A6" w:rsidRPr="00124F23" w:rsidRDefault="00FE48A6" w:rsidP="008E5660">
      <w:pPr>
        <w:tabs>
          <w:tab w:val="left" w:pos="4800"/>
        </w:tabs>
        <w:autoSpaceDE w:val="0"/>
        <w:autoSpaceDN w:val="0"/>
        <w:adjustRightInd w:val="0"/>
        <w:spacing w:after="0"/>
        <w:ind w:left="900"/>
        <w:rPr>
          <w:rFonts w:ascii="Times New Roman" w:hAnsi="Times New Roman"/>
          <w:b/>
          <w:sz w:val="24"/>
        </w:rPr>
      </w:pPr>
    </w:p>
    <w:p w:rsidR="00FE48A6" w:rsidRPr="00124F23" w:rsidRDefault="00FE48A6" w:rsidP="008E5660">
      <w:pPr>
        <w:tabs>
          <w:tab w:val="left" w:pos="4800"/>
        </w:tabs>
        <w:autoSpaceDE w:val="0"/>
        <w:autoSpaceDN w:val="0"/>
        <w:adjustRightInd w:val="0"/>
        <w:spacing w:after="0"/>
        <w:ind w:left="900"/>
        <w:rPr>
          <w:rFonts w:ascii="Times New Roman" w:hAnsi="Times New Roman"/>
          <w:sz w:val="24"/>
        </w:rPr>
      </w:pPr>
      <w:r>
        <w:rPr>
          <w:rFonts w:ascii="Times New Roman" w:hAnsi="Times New Roman"/>
          <w:sz w:val="24"/>
        </w:rPr>
        <w:t>T</w:t>
      </w:r>
      <w:r w:rsidRPr="00124F23">
        <w:rPr>
          <w:rFonts w:ascii="Times New Roman" w:hAnsi="Times New Roman"/>
          <w:sz w:val="24"/>
        </w:rPr>
        <w:t xml:space="preserve">he long-run trend </w:t>
      </w:r>
      <w:r>
        <w:rPr>
          <w:rFonts w:ascii="Times New Roman" w:hAnsi="Times New Roman"/>
          <w:sz w:val="24"/>
        </w:rPr>
        <w:t>of the FDI inflow/GDP indicator represents a statistical analyzes,</w:t>
      </w:r>
      <w:r w:rsidRPr="00124F23">
        <w:rPr>
          <w:rFonts w:ascii="Times New Roman" w:hAnsi="Times New Roman"/>
          <w:sz w:val="24"/>
        </w:rPr>
        <w:t xml:space="preserve"> as well as a</w:t>
      </w:r>
      <w:r>
        <w:rPr>
          <w:rFonts w:ascii="Times New Roman" w:hAnsi="Times New Roman"/>
          <w:sz w:val="24"/>
        </w:rPr>
        <w:t xml:space="preserve">n econometric estimation with regard of </w:t>
      </w:r>
      <w:r w:rsidRPr="00124F23">
        <w:rPr>
          <w:rFonts w:ascii="Times New Roman" w:hAnsi="Times New Roman"/>
          <w:sz w:val="24"/>
        </w:rPr>
        <w:t>certain economic, political and institutional variables in Macedonia</w:t>
      </w:r>
      <w:r>
        <w:rPr>
          <w:rFonts w:ascii="Times New Roman" w:hAnsi="Times New Roman"/>
          <w:sz w:val="24"/>
        </w:rPr>
        <w:t xml:space="preserve"> for the period from 2003 until 2015</w:t>
      </w:r>
      <w:r w:rsidRPr="00124F23">
        <w:rPr>
          <w:rFonts w:ascii="Times New Roman" w:hAnsi="Times New Roman"/>
          <w:sz w:val="24"/>
        </w:rPr>
        <w:t>.</w:t>
      </w:r>
    </w:p>
    <w:p w:rsidR="00FE48A6" w:rsidRPr="00124F23" w:rsidRDefault="00FE48A6" w:rsidP="008E5660">
      <w:pPr>
        <w:autoSpaceDE w:val="0"/>
        <w:autoSpaceDN w:val="0"/>
        <w:adjustRightInd w:val="0"/>
        <w:spacing w:after="0"/>
        <w:ind w:left="900"/>
        <w:rPr>
          <w:rFonts w:ascii="Times New Roman" w:hAnsi="Times New Roman"/>
          <w:color w:val="FF0000"/>
          <w:sz w:val="24"/>
        </w:rPr>
      </w:pPr>
    </w:p>
    <w:p w:rsidR="00FE48A6" w:rsidRPr="00124F23" w:rsidRDefault="00FE48A6" w:rsidP="008E5660">
      <w:pPr>
        <w:autoSpaceDE w:val="0"/>
        <w:autoSpaceDN w:val="0"/>
        <w:adjustRightInd w:val="0"/>
        <w:spacing w:after="0"/>
        <w:ind w:left="900"/>
        <w:rPr>
          <w:rFonts w:ascii="Times New Roman" w:hAnsi="Times New Roman"/>
          <w:sz w:val="24"/>
        </w:rPr>
      </w:pPr>
      <w:r w:rsidRPr="00124F23">
        <w:rPr>
          <w:rFonts w:ascii="Times New Roman" w:hAnsi="Times New Roman"/>
          <w:sz w:val="24"/>
        </w:rPr>
        <w:t xml:space="preserve">In our analysis the variables that have a potential </w:t>
      </w:r>
      <w:r>
        <w:rPr>
          <w:rStyle w:val="alt-edited1"/>
          <w:rFonts w:ascii="Times New Roman" w:hAnsi="Times New Roman"/>
          <w:color w:val="auto"/>
          <w:sz w:val="24"/>
        </w:rPr>
        <w:t xml:space="preserve">influence upon </w:t>
      </w:r>
      <w:r w:rsidRPr="00124F23">
        <w:rPr>
          <w:rFonts w:ascii="Times New Roman" w:hAnsi="Times New Roman"/>
          <w:sz w:val="24"/>
        </w:rPr>
        <w:t xml:space="preserve">FDI inflows are divided into two categories. The first category is represented by endogenous variables with a potentially </w:t>
      </w:r>
      <w:r>
        <w:rPr>
          <w:rFonts w:ascii="Times New Roman" w:hAnsi="Times New Roman"/>
          <w:sz w:val="24"/>
        </w:rPr>
        <w:t xml:space="preserve">mutual influence upon and from </w:t>
      </w:r>
      <w:r w:rsidRPr="00124F23">
        <w:rPr>
          <w:rFonts w:ascii="Times New Roman" w:hAnsi="Times New Roman"/>
          <w:sz w:val="24"/>
        </w:rPr>
        <w:t xml:space="preserve">FDI. It consists of the following set of economic variables: economic growth, labor productivity, openness to trade and current account balance. We have used quarterly data for a period of 13 years (from the first quarter of 2003 to the fourth quarter of 2015) obtained from the National Bank of the Republic of Macedonia and the  State Statistical Office of the Republic of Macedonia. The second category is represented by exogenous (political and institutional) variables with potential </w:t>
      </w:r>
      <w:r>
        <w:rPr>
          <w:rFonts w:ascii="Times New Roman" w:hAnsi="Times New Roman"/>
          <w:sz w:val="24"/>
        </w:rPr>
        <w:t xml:space="preserve">one-way </w:t>
      </w:r>
      <w:r w:rsidRPr="00124F23">
        <w:rPr>
          <w:rFonts w:ascii="Times New Roman" w:hAnsi="Times New Roman"/>
          <w:sz w:val="24"/>
        </w:rPr>
        <w:t xml:space="preserve">influence </w:t>
      </w:r>
      <w:r>
        <w:rPr>
          <w:rFonts w:ascii="Times New Roman" w:hAnsi="Times New Roman"/>
          <w:sz w:val="24"/>
        </w:rPr>
        <w:t xml:space="preserve">upon </w:t>
      </w:r>
      <w:r w:rsidRPr="00124F23">
        <w:rPr>
          <w:rFonts w:ascii="Times New Roman" w:hAnsi="Times New Roman"/>
          <w:sz w:val="24"/>
        </w:rPr>
        <w:t>foreign invest</w:t>
      </w:r>
      <w:r>
        <w:rPr>
          <w:rFonts w:ascii="Times New Roman" w:hAnsi="Times New Roman"/>
          <w:sz w:val="24"/>
        </w:rPr>
        <w:t>ment inflows</w:t>
      </w:r>
      <w:r w:rsidRPr="00124F23">
        <w:rPr>
          <w:rFonts w:ascii="Times New Roman" w:hAnsi="Times New Roman"/>
          <w:sz w:val="24"/>
        </w:rPr>
        <w:t xml:space="preserve">. These variables are calculated as indexes based on yearly data obtained from the World Bank, World Governance Indicator database for the period from 2003 to 2015. </w:t>
      </w:r>
    </w:p>
    <w:p w:rsidR="00FE48A6" w:rsidRPr="00124F23" w:rsidRDefault="00FE48A6" w:rsidP="008E5660">
      <w:pPr>
        <w:autoSpaceDE w:val="0"/>
        <w:autoSpaceDN w:val="0"/>
        <w:adjustRightInd w:val="0"/>
        <w:spacing w:after="0"/>
        <w:ind w:left="900"/>
        <w:rPr>
          <w:rFonts w:ascii="Times New Roman" w:hAnsi="Times New Roman"/>
          <w:sz w:val="24"/>
        </w:rPr>
      </w:pPr>
    </w:p>
    <w:p w:rsidR="00FE48A6" w:rsidRDefault="00FE48A6" w:rsidP="008E5660">
      <w:pPr>
        <w:autoSpaceDE w:val="0"/>
        <w:autoSpaceDN w:val="0"/>
        <w:adjustRightInd w:val="0"/>
        <w:spacing w:after="0"/>
        <w:ind w:left="900"/>
        <w:rPr>
          <w:rFonts w:ascii="Times New Roman" w:hAnsi="Times New Roman"/>
          <w:sz w:val="24"/>
        </w:rPr>
      </w:pPr>
      <w:r>
        <w:rPr>
          <w:rFonts w:ascii="Times New Roman" w:hAnsi="Times New Roman"/>
          <w:sz w:val="24"/>
        </w:rPr>
        <w:t>Table 1</w:t>
      </w:r>
      <w:r w:rsidRPr="00124F23">
        <w:rPr>
          <w:rFonts w:ascii="Times New Roman" w:hAnsi="Times New Roman"/>
          <w:sz w:val="24"/>
        </w:rPr>
        <w:t xml:space="preserve"> presents the specification of </w:t>
      </w:r>
      <w:r w:rsidRPr="00124F23">
        <w:rPr>
          <w:rFonts w:ascii="Times New Roman" w:hAnsi="Times New Roman"/>
          <w:color w:val="000000"/>
          <w:kern w:val="24"/>
          <w:sz w:val="24"/>
        </w:rPr>
        <w:t xml:space="preserve">endogenous (2-5) and exogenous variables (6-7) included in the econometric model, as well as </w:t>
      </w:r>
      <w:r>
        <w:rPr>
          <w:rFonts w:ascii="Times New Roman" w:hAnsi="Times New Roman"/>
          <w:sz w:val="24"/>
        </w:rPr>
        <w:t>the</w:t>
      </w:r>
      <w:r w:rsidRPr="00124F23">
        <w:rPr>
          <w:rFonts w:ascii="Times New Roman" w:hAnsi="Times New Roman"/>
          <w:sz w:val="24"/>
        </w:rPr>
        <w:t xml:space="preserve"> signs, calculation, source and results expected for each variable.</w:t>
      </w:r>
    </w:p>
    <w:p w:rsidR="00FE48A6" w:rsidRPr="00784ACD" w:rsidRDefault="001406C4" w:rsidP="008E5660">
      <w:pPr>
        <w:autoSpaceDE w:val="0"/>
        <w:autoSpaceDN w:val="0"/>
        <w:adjustRightInd w:val="0"/>
        <w:spacing w:after="0"/>
        <w:ind w:left="900"/>
        <w:jc w:val="left"/>
        <w:rPr>
          <w:rFonts w:ascii="Times New Roman" w:hAnsi="Times New Roman"/>
          <w:szCs w:val="20"/>
        </w:rPr>
      </w:pPr>
      <w:r>
        <w:rPr>
          <w:rFonts w:ascii="Times New Roman" w:hAnsi="Times New Roman"/>
          <w:szCs w:val="20"/>
        </w:rPr>
        <w:br w:type="column"/>
      </w:r>
    </w:p>
    <w:tbl>
      <w:tblPr>
        <w:tblW w:w="856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530"/>
        <w:gridCol w:w="1746"/>
        <w:gridCol w:w="2068"/>
        <w:gridCol w:w="1244"/>
      </w:tblGrid>
      <w:tr w:rsidR="001406C4" w:rsidRPr="00124F23" w:rsidTr="001406C4">
        <w:trPr>
          <w:trHeight w:val="515"/>
        </w:trPr>
        <w:tc>
          <w:tcPr>
            <w:tcW w:w="1980" w:type="dxa"/>
          </w:tcPr>
          <w:p w:rsidR="001406C4" w:rsidRPr="001406C4" w:rsidRDefault="001406C4" w:rsidP="001406C4">
            <w:pPr>
              <w:tabs>
                <w:tab w:val="left" w:pos="142"/>
              </w:tabs>
              <w:spacing w:after="0"/>
              <w:rPr>
                <w:rFonts w:ascii="Times New Roman" w:hAnsi="Times New Roman"/>
                <w:b/>
                <w:sz w:val="22"/>
                <w:szCs w:val="22"/>
                <w:lang w:eastAsia="mk-MK"/>
              </w:rPr>
            </w:pPr>
            <w:r w:rsidRPr="001406C4">
              <w:rPr>
                <w:rFonts w:ascii="Times New Roman" w:hAnsi="Times New Roman"/>
                <w:b/>
                <w:sz w:val="22"/>
                <w:szCs w:val="22"/>
                <w:lang w:eastAsia="mk-MK"/>
              </w:rPr>
              <w:t>Variable</w:t>
            </w:r>
          </w:p>
        </w:tc>
        <w:tc>
          <w:tcPr>
            <w:tcW w:w="1530" w:type="dxa"/>
          </w:tcPr>
          <w:p w:rsidR="001406C4" w:rsidRPr="001406C4" w:rsidRDefault="001406C4" w:rsidP="001406C4">
            <w:pPr>
              <w:tabs>
                <w:tab w:val="left" w:pos="142"/>
              </w:tabs>
              <w:spacing w:after="0"/>
              <w:rPr>
                <w:rFonts w:ascii="Times New Roman" w:hAnsi="Times New Roman"/>
                <w:b/>
                <w:sz w:val="22"/>
                <w:szCs w:val="22"/>
                <w:lang w:eastAsia="mk-MK"/>
              </w:rPr>
            </w:pPr>
            <w:r w:rsidRPr="001406C4">
              <w:rPr>
                <w:rFonts w:ascii="Times New Roman" w:hAnsi="Times New Roman"/>
                <w:b/>
                <w:sz w:val="22"/>
                <w:szCs w:val="22"/>
                <w:lang w:eastAsia="mk-MK"/>
              </w:rPr>
              <w:t>Sign</w:t>
            </w:r>
          </w:p>
        </w:tc>
        <w:tc>
          <w:tcPr>
            <w:tcW w:w="1746" w:type="dxa"/>
          </w:tcPr>
          <w:p w:rsidR="001406C4" w:rsidRPr="001406C4" w:rsidRDefault="001406C4" w:rsidP="001406C4">
            <w:pPr>
              <w:tabs>
                <w:tab w:val="left" w:pos="142"/>
              </w:tabs>
              <w:spacing w:after="0"/>
              <w:rPr>
                <w:rFonts w:ascii="Times New Roman" w:hAnsi="Times New Roman"/>
                <w:b/>
                <w:sz w:val="22"/>
                <w:szCs w:val="22"/>
                <w:lang w:eastAsia="mk-MK"/>
              </w:rPr>
            </w:pPr>
            <w:r w:rsidRPr="001406C4">
              <w:rPr>
                <w:rFonts w:ascii="Times New Roman" w:hAnsi="Times New Roman"/>
                <w:b/>
                <w:sz w:val="22"/>
                <w:szCs w:val="22"/>
                <w:lang w:eastAsia="mk-MK"/>
              </w:rPr>
              <w:t>Calculation</w:t>
            </w:r>
          </w:p>
        </w:tc>
        <w:tc>
          <w:tcPr>
            <w:tcW w:w="2068" w:type="dxa"/>
          </w:tcPr>
          <w:p w:rsidR="001406C4" w:rsidRPr="001406C4" w:rsidRDefault="001406C4" w:rsidP="008E5660">
            <w:pPr>
              <w:tabs>
                <w:tab w:val="left" w:pos="142"/>
              </w:tabs>
              <w:spacing w:after="0"/>
              <w:ind w:left="900"/>
              <w:rPr>
                <w:rFonts w:ascii="Times New Roman" w:hAnsi="Times New Roman"/>
                <w:b/>
                <w:sz w:val="22"/>
                <w:szCs w:val="22"/>
                <w:lang w:eastAsia="mk-MK"/>
              </w:rPr>
            </w:pPr>
            <w:r w:rsidRPr="001406C4">
              <w:rPr>
                <w:rFonts w:ascii="Times New Roman" w:hAnsi="Times New Roman"/>
                <w:b/>
                <w:sz w:val="22"/>
                <w:szCs w:val="22"/>
                <w:lang w:eastAsia="mk-MK"/>
              </w:rPr>
              <w:t>Source</w:t>
            </w:r>
          </w:p>
        </w:tc>
        <w:tc>
          <w:tcPr>
            <w:tcW w:w="1244" w:type="dxa"/>
          </w:tcPr>
          <w:p w:rsidR="001406C4" w:rsidRPr="001406C4" w:rsidRDefault="001406C4" w:rsidP="001406C4">
            <w:pPr>
              <w:tabs>
                <w:tab w:val="left" w:pos="142"/>
              </w:tabs>
              <w:spacing w:after="0"/>
              <w:rPr>
                <w:rFonts w:ascii="Times New Roman" w:hAnsi="Times New Roman"/>
                <w:b/>
                <w:sz w:val="22"/>
                <w:szCs w:val="22"/>
                <w:lang w:eastAsia="mk-MK"/>
              </w:rPr>
            </w:pPr>
            <w:r w:rsidRPr="001406C4">
              <w:rPr>
                <w:rFonts w:ascii="Times New Roman" w:hAnsi="Times New Roman"/>
                <w:b/>
                <w:sz w:val="22"/>
                <w:szCs w:val="22"/>
                <w:lang w:eastAsia="mk-MK"/>
              </w:rPr>
              <w:t xml:space="preserve">Expected sign </w:t>
            </w:r>
          </w:p>
        </w:tc>
      </w:tr>
      <w:tr w:rsidR="001406C4" w:rsidRPr="00124F23" w:rsidTr="001406C4">
        <w:trPr>
          <w:trHeight w:val="467"/>
        </w:trPr>
        <w:tc>
          <w:tcPr>
            <w:tcW w:w="1980"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Foreign direct investment inflow</w:t>
            </w:r>
          </w:p>
        </w:tc>
        <w:tc>
          <w:tcPr>
            <w:tcW w:w="1530"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FDI</w:t>
            </w:r>
          </w:p>
        </w:tc>
        <w:tc>
          <w:tcPr>
            <w:tcW w:w="1746"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FDI inflow/GDP</w:t>
            </w:r>
          </w:p>
        </w:tc>
        <w:tc>
          <w:tcPr>
            <w:tcW w:w="2068" w:type="dxa"/>
          </w:tcPr>
          <w:p w:rsidR="001406C4" w:rsidRPr="001406C4" w:rsidRDefault="001406C4" w:rsidP="008E5660">
            <w:pPr>
              <w:tabs>
                <w:tab w:val="left" w:pos="142"/>
              </w:tabs>
              <w:spacing w:after="0"/>
              <w:ind w:left="900"/>
              <w:rPr>
                <w:rFonts w:ascii="Times New Roman" w:hAnsi="Times New Roman"/>
                <w:sz w:val="22"/>
                <w:szCs w:val="22"/>
                <w:lang w:eastAsia="mk-MK"/>
              </w:rPr>
            </w:pPr>
            <w:r w:rsidRPr="001406C4">
              <w:rPr>
                <w:rFonts w:ascii="Times New Roman" w:hAnsi="Times New Roman"/>
                <w:sz w:val="22"/>
                <w:szCs w:val="22"/>
                <w:lang w:eastAsia="mk-MK"/>
              </w:rPr>
              <w:t>NBRM</w:t>
            </w:r>
          </w:p>
        </w:tc>
        <w:tc>
          <w:tcPr>
            <w:tcW w:w="1244" w:type="dxa"/>
          </w:tcPr>
          <w:p w:rsidR="001406C4" w:rsidRPr="001406C4" w:rsidRDefault="001406C4" w:rsidP="001406C4">
            <w:pPr>
              <w:tabs>
                <w:tab w:val="left" w:pos="142"/>
              </w:tabs>
              <w:spacing w:after="0"/>
              <w:rPr>
                <w:rFonts w:ascii="Times New Roman" w:hAnsi="Times New Roman"/>
                <w:sz w:val="22"/>
                <w:szCs w:val="22"/>
                <w:lang w:val="mk-MK" w:eastAsia="mk-MK"/>
              </w:rPr>
            </w:pPr>
            <w:r w:rsidRPr="001406C4">
              <w:rPr>
                <w:rFonts w:ascii="Times New Roman" w:hAnsi="Times New Roman"/>
                <w:sz w:val="22"/>
                <w:szCs w:val="22"/>
                <w:lang w:val="mk-MK" w:eastAsia="mk-MK"/>
              </w:rPr>
              <w:t>+</w:t>
            </w:r>
          </w:p>
        </w:tc>
      </w:tr>
      <w:tr w:rsidR="001406C4" w:rsidRPr="00124F23" w:rsidTr="001406C4">
        <w:trPr>
          <w:trHeight w:val="467"/>
        </w:trPr>
        <w:tc>
          <w:tcPr>
            <w:tcW w:w="1980"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Economic growth</w:t>
            </w:r>
          </w:p>
          <w:p w:rsidR="001406C4" w:rsidRPr="001406C4" w:rsidRDefault="001406C4" w:rsidP="008E5660">
            <w:pPr>
              <w:tabs>
                <w:tab w:val="left" w:pos="142"/>
              </w:tabs>
              <w:spacing w:after="0"/>
              <w:ind w:left="900"/>
              <w:rPr>
                <w:rFonts w:ascii="Times New Roman" w:hAnsi="Times New Roman"/>
                <w:sz w:val="22"/>
                <w:szCs w:val="22"/>
                <w:lang w:val="mk-MK" w:eastAsia="mk-MK"/>
              </w:rPr>
            </w:pPr>
          </w:p>
        </w:tc>
        <w:tc>
          <w:tcPr>
            <w:tcW w:w="1530"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GDPG</w:t>
            </w:r>
          </w:p>
        </w:tc>
        <w:tc>
          <w:tcPr>
            <w:tcW w:w="1746"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Real GDP growth rate</w:t>
            </w:r>
          </w:p>
        </w:tc>
        <w:tc>
          <w:tcPr>
            <w:tcW w:w="2068" w:type="dxa"/>
          </w:tcPr>
          <w:p w:rsidR="001406C4" w:rsidRPr="001406C4" w:rsidRDefault="001406C4" w:rsidP="008E5660">
            <w:pPr>
              <w:tabs>
                <w:tab w:val="left" w:pos="142"/>
              </w:tabs>
              <w:spacing w:after="0"/>
              <w:ind w:left="900"/>
              <w:rPr>
                <w:rFonts w:ascii="Times New Roman" w:hAnsi="Times New Roman"/>
                <w:sz w:val="22"/>
                <w:szCs w:val="22"/>
                <w:lang w:eastAsia="mk-MK"/>
              </w:rPr>
            </w:pPr>
            <w:r w:rsidRPr="001406C4">
              <w:rPr>
                <w:rFonts w:ascii="Times New Roman" w:hAnsi="Times New Roman"/>
                <w:sz w:val="22"/>
                <w:szCs w:val="22"/>
                <w:lang w:eastAsia="mk-MK"/>
              </w:rPr>
              <w:t>NBRM</w:t>
            </w:r>
          </w:p>
        </w:tc>
        <w:tc>
          <w:tcPr>
            <w:tcW w:w="1244" w:type="dxa"/>
          </w:tcPr>
          <w:p w:rsidR="001406C4" w:rsidRPr="001406C4" w:rsidRDefault="001406C4" w:rsidP="001406C4">
            <w:pPr>
              <w:tabs>
                <w:tab w:val="left" w:pos="142"/>
              </w:tabs>
              <w:spacing w:after="0"/>
              <w:rPr>
                <w:rFonts w:ascii="Times New Roman" w:hAnsi="Times New Roman"/>
                <w:sz w:val="22"/>
                <w:szCs w:val="22"/>
                <w:lang w:val="mk-MK" w:eastAsia="mk-MK"/>
              </w:rPr>
            </w:pPr>
            <w:r w:rsidRPr="001406C4">
              <w:rPr>
                <w:rFonts w:ascii="Times New Roman" w:hAnsi="Times New Roman"/>
                <w:sz w:val="22"/>
                <w:szCs w:val="22"/>
                <w:lang w:val="mk-MK" w:eastAsia="mk-MK"/>
              </w:rPr>
              <w:t>+</w:t>
            </w:r>
          </w:p>
        </w:tc>
      </w:tr>
      <w:tr w:rsidR="001406C4" w:rsidRPr="00124F23" w:rsidTr="001406C4">
        <w:trPr>
          <w:trHeight w:val="232"/>
        </w:trPr>
        <w:tc>
          <w:tcPr>
            <w:tcW w:w="1980"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 xml:space="preserve">Trade openness </w:t>
            </w:r>
          </w:p>
        </w:tc>
        <w:tc>
          <w:tcPr>
            <w:tcW w:w="1530" w:type="dxa"/>
          </w:tcPr>
          <w:p w:rsidR="001406C4" w:rsidRPr="001406C4" w:rsidRDefault="001406C4" w:rsidP="001406C4">
            <w:pPr>
              <w:tabs>
                <w:tab w:val="left" w:pos="142"/>
              </w:tabs>
              <w:spacing w:after="0"/>
              <w:ind w:left="900"/>
              <w:rPr>
                <w:rFonts w:ascii="Times New Roman" w:hAnsi="Times New Roman"/>
                <w:sz w:val="22"/>
                <w:szCs w:val="22"/>
                <w:lang w:eastAsia="mk-MK"/>
              </w:rPr>
            </w:pPr>
          </w:p>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OPEN</w:t>
            </w:r>
          </w:p>
        </w:tc>
        <w:tc>
          <w:tcPr>
            <w:tcW w:w="1746"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 xml:space="preserve">(Export </w:t>
            </w:r>
            <w:r w:rsidRPr="001406C4">
              <w:rPr>
                <w:rFonts w:ascii="Times New Roman" w:hAnsi="Times New Roman"/>
                <w:sz w:val="22"/>
                <w:szCs w:val="22"/>
                <w:lang w:val="mk-MK" w:eastAsia="mk-MK"/>
              </w:rPr>
              <w:t xml:space="preserve">+ </w:t>
            </w:r>
            <w:r w:rsidRPr="001406C4">
              <w:rPr>
                <w:rFonts w:ascii="Times New Roman" w:hAnsi="Times New Roman"/>
                <w:sz w:val="22"/>
                <w:szCs w:val="22"/>
                <w:lang w:eastAsia="mk-MK"/>
              </w:rPr>
              <w:t>Import)/GDP</w:t>
            </w:r>
          </w:p>
        </w:tc>
        <w:tc>
          <w:tcPr>
            <w:tcW w:w="2068" w:type="dxa"/>
          </w:tcPr>
          <w:p w:rsidR="001406C4" w:rsidRPr="001406C4" w:rsidRDefault="001406C4" w:rsidP="008E5660">
            <w:pPr>
              <w:tabs>
                <w:tab w:val="left" w:pos="142"/>
              </w:tabs>
              <w:spacing w:after="0"/>
              <w:ind w:left="900"/>
              <w:rPr>
                <w:rFonts w:ascii="Times New Roman" w:hAnsi="Times New Roman"/>
                <w:sz w:val="22"/>
                <w:szCs w:val="22"/>
                <w:lang w:eastAsia="mk-MK"/>
              </w:rPr>
            </w:pPr>
            <w:r w:rsidRPr="001406C4">
              <w:rPr>
                <w:rFonts w:ascii="Times New Roman" w:hAnsi="Times New Roman"/>
                <w:sz w:val="22"/>
                <w:szCs w:val="22"/>
                <w:lang w:eastAsia="mk-MK"/>
              </w:rPr>
              <w:t>NBRM</w:t>
            </w:r>
          </w:p>
        </w:tc>
        <w:tc>
          <w:tcPr>
            <w:tcW w:w="1244" w:type="dxa"/>
          </w:tcPr>
          <w:p w:rsidR="001406C4" w:rsidRPr="001406C4" w:rsidRDefault="001406C4" w:rsidP="001406C4">
            <w:pPr>
              <w:tabs>
                <w:tab w:val="left" w:pos="142"/>
              </w:tabs>
              <w:spacing w:after="0"/>
              <w:rPr>
                <w:rFonts w:ascii="Times New Roman" w:hAnsi="Times New Roman"/>
                <w:sz w:val="22"/>
                <w:szCs w:val="22"/>
                <w:lang w:val="mk-MK" w:eastAsia="mk-MK"/>
              </w:rPr>
            </w:pPr>
            <w:r w:rsidRPr="001406C4">
              <w:rPr>
                <w:rFonts w:ascii="Times New Roman" w:hAnsi="Times New Roman"/>
                <w:sz w:val="22"/>
                <w:szCs w:val="22"/>
                <w:lang w:val="mk-MK" w:eastAsia="mk-MK"/>
              </w:rPr>
              <w:t>+</w:t>
            </w:r>
          </w:p>
        </w:tc>
      </w:tr>
      <w:tr w:rsidR="001406C4" w:rsidRPr="00124F23" w:rsidTr="001406C4">
        <w:trPr>
          <w:trHeight w:val="467"/>
        </w:trPr>
        <w:tc>
          <w:tcPr>
            <w:tcW w:w="1980"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Labor productivity</w:t>
            </w:r>
          </w:p>
        </w:tc>
        <w:tc>
          <w:tcPr>
            <w:tcW w:w="1530"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LABPRD</w:t>
            </w:r>
          </w:p>
        </w:tc>
        <w:tc>
          <w:tcPr>
            <w:tcW w:w="1746"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GDP per employee (rate of growth)</w:t>
            </w:r>
          </w:p>
        </w:tc>
        <w:tc>
          <w:tcPr>
            <w:tcW w:w="2068" w:type="dxa"/>
          </w:tcPr>
          <w:p w:rsidR="001406C4" w:rsidRPr="001406C4" w:rsidRDefault="001406C4" w:rsidP="008E5660">
            <w:pPr>
              <w:tabs>
                <w:tab w:val="left" w:pos="142"/>
              </w:tabs>
              <w:spacing w:after="0"/>
              <w:ind w:left="900"/>
              <w:rPr>
                <w:rFonts w:ascii="Times New Roman" w:hAnsi="Times New Roman"/>
                <w:sz w:val="22"/>
                <w:szCs w:val="22"/>
                <w:lang w:eastAsia="mk-MK"/>
              </w:rPr>
            </w:pPr>
            <w:r w:rsidRPr="001406C4">
              <w:rPr>
                <w:rFonts w:ascii="Times New Roman" w:hAnsi="Times New Roman"/>
                <w:sz w:val="22"/>
                <w:szCs w:val="22"/>
                <w:lang w:eastAsia="mk-MK"/>
              </w:rPr>
              <w:t>NBRM</w:t>
            </w:r>
          </w:p>
        </w:tc>
        <w:tc>
          <w:tcPr>
            <w:tcW w:w="1244" w:type="dxa"/>
          </w:tcPr>
          <w:p w:rsidR="001406C4" w:rsidRPr="001406C4" w:rsidRDefault="001406C4" w:rsidP="001406C4">
            <w:pPr>
              <w:tabs>
                <w:tab w:val="left" w:pos="142"/>
              </w:tabs>
              <w:spacing w:after="0"/>
              <w:rPr>
                <w:rFonts w:ascii="Times New Roman" w:hAnsi="Times New Roman"/>
                <w:sz w:val="22"/>
                <w:szCs w:val="22"/>
                <w:lang w:val="mk-MK" w:eastAsia="mk-MK"/>
              </w:rPr>
            </w:pPr>
            <w:r w:rsidRPr="001406C4">
              <w:rPr>
                <w:rFonts w:ascii="Times New Roman" w:hAnsi="Times New Roman"/>
                <w:sz w:val="22"/>
                <w:szCs w:val="22"/>
                <w:lang w:val="mk-MK" w:eastAsia="mk-MK"/>
              </w:rPr>
              <w:t>+</w:t>
            </w:r>
          </w:p>
        </w:tc>
      </w:tr>
      <w:tr w:rsidR="001406C4" w:rsidRPr="00124F23" w:rsidTr="001406C4">
        <w:trPr>
          <w:trHeight w:val="467"/>
        </w:trPr>
        <w:tc>
          <w:tcPr>
            <w:tcW w:w="1980"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Current account balance</w:t>
            </w:r>
          </w:p>
        </w:tc>
        <w:tc>
          <w:tcPr>
            <w:tcW w:w="1530"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BP</w:t>
            </w:r>
          </w:p>
        </w:tc>
        <w:tc>
          <w:tcPr>
            <w:tcW w:w="1746"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Current account balance/ GDP</w:t>
            </w:r>
          </w:p>
        </w:tc>
        <w:tc>
          <w:tcPr>
            <w:tcW w:w="2068" w:type="dxa"/>
          </w:tcPr>
          <w:p w:rsidR="001406C4" w:rsidRPr="001406C4" w:rsidRDefault="001406C4" w:rsidP="008E5660">
            <w:pPr>
              <w:tabs>
                <w:tab w:val="left" w:pos="142"/>
              </w:tabs>
              <w:spacing w:after="0"/>
              <w:ind w:left="900"/>
              <w:rPr>
                <w:rFonts w:ascii="Times New Roman" w:hAnsi="Times New Roman"/>
                <w:sz w:val="22"/>
                <w:szCs w:val="22"/>
                <w:lang w:eastAsia="mk-MK"/>
              </w:rPr>
            </w:pPr>
            <w:r w:rsidRPr="001406C4">
              <w:rPr>
                <w:rFonts w:ascii="Times New Roman" w:hAnsi="Times New Roman"/>
                <w:sz w:val="22"/>
                <w:szCs w:val="22"/>
                <w:lang w:eastAsia="mk-MK"/>
              </w:rPr>
              <w:t>NBRM</w:t>
            </w:r>
          </w:p>
        </w:tc>
        <w:tc>
          <w:tcPr>
            <w:tcW w:w="1244"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val="mk-MK" w:eastAsia="mk-MK"/>
              </w:rPr>
              <w:t>+</w:t>
            </w:r>
          </w:p>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w:t>
            </w:r>
          </w:p>
        </w:tc>
      </w:tr>
      <w:tr w:rsidR="001406C4" w:rsidRPr="00124F23" w:rsidTr="001406C4">
        <w:trPr>
          <w:trHeight w:val="922"/>
        </w:trPr>
        <w:tc>
          <w:tcPr>
            <w:tcW w:w="1980"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Index of institutional factors</w:t>
            </w:r>
          </w:p>
        </w:tc>
        <w:tc>
          <w:tcPr>
            <w:tcW w:w="1530"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INSTIT</w:t>
            </w:r>
          </w:p>
        </w:tc>
        <w:tc>
          <w:tcPr>
            <w:tcW w:w="1746"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Calculated as Index based on Corruption and Rule of law percentile rank for a country</w:t>
            </w:r>
          </w:p>
        </w:tc>
        <w:tc>
          <w:tcPr>
            <w:tcW w:w="2068"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World Governance Indicator, World Bank</w:t>
            </w:r>
          </w:p>
        </w:tc>
        <w:tc>
          <w:tcPr>
            <w:tcW w:w="1244" w:type="dxa"/>
          </w:tcPr>
          <w:p w:rsidR="001406C4" w:rsidRPr="001406C4" w:rsidRDefault="001406C4" w:rsidP="001406C4">
            <w:pPr>
              <w:tabs>
                <w:tab w:val="left" w:pos="142"/>
              </w:tabs>
              <w:spacing w:after="0"/>
              <w:rPr>
                <w:rFonts w:ascii="Times New Roman" w:hAnsi="Times New Roman"/>
                <w:sz w:val="22"/>
                <w:szCs w:val="22"/>
                <w:lang w:val="mk-MK" w:eastAsia="mk-MK"/>
              </w:rPr>
            </w:pPr>
            <w:r w:rsidRPr="001406C4">
              <w:rPr>
                <w:rFonts w:ascii="Times New Roman" w:hAnsi="Times New Roman"/>
                <w:sz w:val="22"/>
                <w:szCs w:val="22"/>
                <w:lang w:val="mk-MK" w:eastAsia="mk-MK"/>
              </w:rPr>
              <w:t>+</w:t>
            </w:r>
          </w:p>
        </w:tc>
      </w:tr>
      <w:tr w:rsidR="001406C4" w:rsidRPr="00124F23" w:rsidTr="001406C4">
        <w:trPr>
          <w:trHeight w:val="1398"/>
        </w:trPr>
        <w:tc>
          <w:tcPr>
            <w:tcW w:w="1980" w:type="dxa"/>
          </w:tcPr>
          <w:p w:rsidR="001406C4" w:rsidRPr="001406C4" w:rsidRDefault="001406C4" w:rsidP="001406C4">
            <w:pPr>
              <w:tabs>
                <w:tab w:val="left" w:pos="142"/>
              </w:tabs>
              <w:spacing w:after="0"/>
              <w:rPr>
                <w:rFonts w:ascii="Times New Roman" w:hAnsi="Times New Roman"/>
                <w:sz w:val="22"/>
                <w:szCs w:val="22"/>
                <w:lang w:val="mk-MK" w:eastAsia="mk-MK"/>
              </w:rPr>
            </w:pPr>
            <w:r w:rsidRPr="001406C4">
              <w:rPr>
                <w:rFonts w:ascii="Times New Roman" w:hAnsi="Times New Roman"/>
                <w:sz w:val="22"/>
                <w:szCs w:val="22"/>
                <w:lang w:eastAsia="mk-MK"/>
              </w:rPr>
              <w:t>Index of political factors</w:t>
            </w:r>
          </w:p>
        </w:tc>
        <w:tc>
          <w:tcPr>
            <w:tcW w:w="1530"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POLICY</w:t>
            </w:r>
          </w:p>
        </w:tc>
        <w:tc>
          <w:tcPr>
            <w:tcW w:w="1746" w:type="dxa"/>
          </w:tcPr>
          <w:p w:rsidR="001406C4" w:rsidRPr="001406C4" w:rsidRDefault="001406C4" w:rsidP="001406C4">
            <w:pPr>
              <w:tabs>
                <w:tab w:val="left" w:pos="142"/>
              </w:tabs>
              <w:spacing w:after="0"/>
              <w:rPr>
                <w:rFonts w:ascii="Times New Roman" w:hAnsi="Times New Roman"/>
                <w:sz w:val="22"/>
                <w:szCs w:val="22"/>
                <w:lang w:val="mk-MK" w:eastAsia="mk-MK"/>
              </w:rPr>
            </w:pPr>
            <w:r w:rsidRPr="001406C4">
              <w:rPr>
                <w:rFonts w:ascii="Times New Roman" w:hAnsi="Times New Roman"/>
                <w:sz w:val="22"/>
                <w:szCs w:val="22"/>
                <w:lang w:eastAsia="mk-MK"/>
              </w:rPr>
              <w:t>Calculated as Index based on Political stability, Government Effectiveness and Regulatory Quality percentile rank for a country</w:t>
            </w:r>
          </w:p>
        </w:tc>
        <w:tc>
          <w:tcPr>
            <w:tcW w:w="2068" w:type="dxa"/>
          </w:tcPr>
          <w:p w:rsidR="001406C4" w:rsidRPr="001406C4" w:rsidRDefault="001406C4" w:rsidP="001406C4">
            <w:pPr>
              <w:tabs>
                <w:tab w:val="left" w:pos="142"/>
              </w:tabs>
              <w:spacing w:after="0"/>
              <w:rPr>
                <w:rFonts w:ascii="Times New Roman" w:hAnsi="Times New Roman"/>
                <w:sz w:val="22"/>
                <w:szCs w:val="22"/>
                <w:lang w:eastAsia="mk-MK"/>
              </w:rPr>
            </w:pPr>
            <w:r w:rsidRPr="001406C4">
              <w:rPr>
                <w:rFonts w:ascii="Times New Roman" w:hAnsi="Times New Roman"/>
                <w:sz w:val="22"/>
                <w:szCs w:val="22"/>
                <w:lang w:eastAsia="mk-MK"/>
              </w:rPr>
              <w:t>World Governance Indicator, World Bank</w:t>
            </w:r>
          </w:p>
        </w:tc>
        <w:tc>
          <w:tcPr>
            <w:tcW w:w="1244" w:type="dxa"/>
          </w:tcPr>
          <w:p w:rsidR="001406C4" w:rsidRPr="001406C4" w:rsidRDefault="001406C4" w:rsidP="001406C4">
            <w:pPr>
              <w:tabs>
                <w:tab w:val="left" w:pos="142"/>
              </w:tabs>
              <w:spacing w:after="0"/>
              <w:rPr>
                <w:rFonts w:ascii="Times New Roman" w:hAnsi="Times New Roman"/>
                <w:sz w:val="22"/>
                <w:szCs w:val="22"/>
                <w:lang w:val="mk-MK" w:eastAsia="mk-MK"/>
              </w:rPr>
            </w:pPr>
            <w:r w:rsidRPr="001406C4">
              <w:rPr>
                <w:rFonts w:ascii="Times New Roman" w:hAnsi="Times New Roman"/>
                <w:sz w:val="22"/>
                <w:szCs w:val="22"/>
                <w:lang w:val="mk-MK" w:eastAsia="mk-MK"/>
              </w:rPr>
              <w:t>+</w:t>
            </w:r>
          </w:p>
        </w:tc>
      </w:tr>
    </w:tbl>
    <w:p w:rsidR="00FE48A6" w:rsidRPr="00B200A6" w:rsidRDefault="00FE48A6" w:rsidP="008E5660">
      <w:pPr>
        <w:autoSpaceDE w:val="0"/>
        <w:autoSpaceDN w:val="0"/>
        <w:adjustRightInd w:val="0"/>
        <w:spacing w:after="0"/>
        <w:ind w:left="900"/>
        <w:jc w:val="center"/>
        <w:rPr>
          <w:rFonts w:ascii="Times New Roman" w:hAnsi="Times New Roman"/>
          <w:sz w:val="24"/>
        </w:rPr>
      </w:pPr>
      <w:r>
        <w:rPr>
          <w:rFonts w:ascii="Times New Roman" w:hAnsi="Times New Roman"/>
          <w:sz w:val="24"/>
        </w:rPr>
        <w:t>Table 1:</w:t>
      </w:r>
      <w:r w:rsidRPr="00B200A6">
        <w:rPr>
          <w:rFonts w:ascii="Times New Roman" w:hAnsi="Times New Roman"/>
          <w:sz w:val="24"/>
        </w:rPr>
        <w:t xml:space="preserve"> Endogenous and exogenous variables taken into account</w:t>
      </w:r>
    </w:p>
    <w:p w:rsidR="00FE48A6" w:rsidRPr="00124F23" w:rsidRDefault="00FE48A6" w:rsidP="008E5660">
      <w:pPr>
        <w:autoSpaceDE w:val="0"/>
        <w:autoSpaceDN w:val="0"/>
        <w:adjustRightInd w:val="0"/>
        <w:spacing w:after="0"/>
        <w:ind w:left="900"/>
        <w:jc w:val="center"/>
        <w:rPr>
          <w:rFonts w:ascii="Times New Roman" w:hAnsi="Times New Roman"/>
          <w:b/>
          <w:sz w:val="24"/>
        </w:rPr>
      </w:pPr>
    </w:p>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 xml:space="preserve">A simple statistical approach provides an opportunity to obtain certain information and warnings, and draw some conclusions. However, these findings need to be further tested and validated by applying more complex models and methods. The econometric approach tries to explain the level of FDI inflows as a function of certain economic, political and institutional variables. </w:t>
      </w:r>
    </w:p>
    <w:p w:rsidR="00FE48A6" w:rsidRPr="00124F23" w:rsidRDefault="00FE48A6" w:rsidP="008E5660">
      <w:pPr>
        <w:spacing w:after="0"/>
        <w:ind w:left="900"/>
        <w:rPr>
          <w:rFonts w:ascii="Times New Roman" w:hAnsi="Times New Roman"/>
          <w:sz w:val="24"/>
        </w:rPr>
      </w:pPr>
    </w:p>
    <w:p w:rsidR="00FE48A6" w:rsidRPr="00124F23" w:rsidRDefault="00FE48A6" w:rsidP="008E5660">
      <w:pPr>
        <w:spacing w:after="0"/>
        <w:ind w:left="900"/>
        <w:textAlignment w:val="top"/>
        <w:rPr>
          <w:rFonts w:ascii="Times New Roman" w:hAnsi="Times New Roman"/>
          <w:sz w:val="24"/>
        </w:rPr>
      </w:pPr>
      <w:r w:rsidRPr="00124F23">
        <w:rPr>
          <w:rFonts w:ascii="Times New Roman" w:hAnsi="Times New Roman"/>
          <w:sz w:val="24"/>
        </w:rPr>
        <w:t>The FDI/GDP ratio is calculated as a function of certain fundamental variables and the “normal value” of this ratio is assessed. For this purpose, we have used VECM (the Vector Error Correction Model) in the following form:</w:t>
      </w:r>
    </w:p>
    <w:p w:rsidR="00FE48A6" w:rsidRPr="00124F23" w:rsidRDefault="00FE48A6" w:rsidP="008E5660">
      <w:pPr>
        <w:spacing w:after="0"/>
        <w:ind w:left="900"/>
        <w:textAlignment w:val="top"/>
        <w:rPr>
          <w:rFonts w:ascii="Times New Roman" w:hAnsi="Times New Roman"/>
          <w:sz w:val="24"/>
        </w:rPr>
      </w:pPr>
    </w:p>
    <w:p w:rsidR="00FE48A6" w:rsidRPr="00151E77" w:rsidRDefault="00DF5F12" w:rsidP="008E5660">
      <w:pPr>
        <w:spacing w:after="0"/>
        <w:ind w:left="900"/>
        <w:rPr>
          <w:rFonts w:ascii="Times New Roman" w:hAnsi="Times New Roman"/>
          <w:sz w:val="24"/>
          <w:lang w:val="ru-RU"/>
        </w:rPr>
      </w:pPr>
      <w:r>
        <w:rPr>
          <w:noProof/>
          <w:lang w:eastAsia="en-US"/>
        </w:rPr>
        <mc:AlternateContent>
          <mc:Choice Requires="wps">
            <w:drawing>
              <wp:anchor distT="0" distB="0" distL="114300" distR="114300" simplePos="0" relativeHeight="251658240" behindDoc="0" locked="0" layoutInCell="1" allowOverlap="1" wp14:anchorId="18158360" wp14:editId="0C5DB11A">
                <wp:simplePos x="0" y="0"/>
                <wp:positionH relativeFrom="column">
                  <wp:posOffset>1461770</wp:posOffset>
                </wp:positionH>
                <wp:positionV relativeFrom="paragraph">
                  <wp:posOffset>14605</wp:posOffset>
                </wp:positionV>
                <wp:extent cx="45085" cy="411480"/>
                <wp:effectExtent l="0" t="0" r="12065" b="26670"/>
                <wp:wrapNone/>
                <wp:docPr id="8" name="Right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11480"/>
                        </a:xfrm>
                        <a:prstGeom prst="rightBracket">
                          <a:avLst/>
                        </a:prstGeom>
                        <a:noFill/>
                        <a:ln w="12700" cap="flat" cmpd="sng" algn="ctr">
                          <a:solidFill>
                            <a:sysClr val="windowText" lastClr="000000">
                              <a:alpha val="83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19D2D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 o:spid="_x0000_s1026" type="#_x0000_t86" style="position:absolute;margin-left:115.1pt;margin-top:1.15pt;width:3.55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HOgwIAAAgFAAAOAAAAZHJzL2Uyb0RvYy54bWysVMFu2zAMvQ/YPwi6r06ydM2MOkXWosOA&#10;oC3WDj2zshwblSVNUuJkX98n2WmybqdhPgiUSFF8j48+v9i2im2k843RBR+fjDiTWpiy0auC/3i4&#10;/jDjzAfSJSmjZcF30vOL+ft3553N5cTURpXSMSTRPu9swesQbJ5lXtSyJX9irNRwVsa1FLB1q6x0&#10;1CF7q7LJaPQp64wrrTNCeo/Tq97J5yl/VUkRbqvKy8BUwVFbSKtL61Ncs/k55StHtm7EUAb9QxUt&#10;NRqPvqa6okBs7Zo/UrWNcMabKpwI02amqhohEwagGY/eoLmvycqEBeR4+0qT/39pxc3mzrGmLDga&#10;palFi743qzqwL47EM3ibRYo663NE3ts7F0F6uzTi2cOR/eaJGz/EbCvXxlhAZNvE9+6Vb7kNTOBw&#10;ejqanXIm4JmOx9NZakdG+f6udT58laZl0Si4i4UNdSWyabP0IVZB+T40PqnNdaNU6qzSrIMsJ2cj&#10;NF8QBFYpCjBbC8herzgjtYJyRXAppTeqKeP1hHPnL5VjG4J4oLnSdA8onTNFPsABPOnra1G2pj50&#10;9hHHkTbU5VOK3jxOHeu9Il/3N9Krww2l49MyaXeAd+A1Wk+m3KFnzvRi9lZcN8i2RFF35KBeQMVE&#10;hlsslTLAbwaLs9q4X387j/EQFbycdZgGcPNzTU4C6zcNuX0eT6dxfNJmeno2wcYde56OPXrdXhpw&#10;NsbsW5HMGB/U3qycaR8xuIv4KlykBd7uuzBsLkM/pRh9IReLFIaRsRSW+t6KmDzyFHl82D6Ss4NI&#10;Ajp0Y/aTQ/kbjfSxvUoW62CqJgnowOugaYxbatrwa4jzfLxPUYcf2PwFAAD//wMAUEsDBBQABgAI&#10;AAAAIQAQBZ0Y3QAAAAgBAAAPAAAAZHJzL2Rvd25yZXYueG1sTI9PS8NAEMXvgt9hGcGb3fyBVmI2&#10;RYsFKQgaC1632TEJ7s6G7KaJ397pSW9veI83v1duF2fFGcfQe1KQrhIQSI03PbUKjh/7u3sQIWoy&#10;2npCBT8YYFtdX5W6MH6mdzzXsRVcQqHQCroYh0LK0HTodFj5AYm9Lz86HfkcW2lGPXO5szJLkrV0&#10;uif+0OkBdx023/XkFLg8zrvj0+fLhIfpUL+97lN6tkrd3iyPDyAiLvEvDBd8RoeKmU5+IhOEVZDl&#10;ScbRiwDBfpZvWJwUrDcpyKqU/wdUvwAAAP//AwBQSwECLQAUAAYACAAAACEAtoM4kv4AAADhAQAA&#10;EwAAAAAAAAAAAAAAAAAAAAAAW0NvbnRlbnRfVHlwZXNdLnhtbFBLAQItABQABgAIAAAAIQA4/SH/&#10;1gAAAJQBAAALAAAAAAAAAAAAAAAAAC8BAABfcmVscy8ucmVsc1BLAQItABQABgAIAAAAIQD0NCHO&#10;gwIAAAgFAAAOAAAAAAAAAAAAAAAAAC4CAABkcnMvZTJvRG9jLnhtbFBLAQItABQABgAIAAAAIQAQ&#10;BZ0Y3QAAAAgBAAAPAAAAAAAAAAAAAAAAAN0EAABkcnMvZG93bnJldi54bWxQSwUGAAAAAAQABADz&#10;AAAA5wUAAAAA&#10;" adj="197" strokecolor="windowText" strokeweight="1pt">
                <v:stroke opacity="54484f"/>
              </v:shape>
            </w:pict>
          </mc:Fallback>
        </mc:AlternateContent>
      </w:r>
      <w:r>
        <w:rPr>
          <w:noProof/>
          <w:lang w:eastAsia="en-US"/>
        </w:rPr>
        <mc:AlternateContent>
          <mc:Choice Requires="wps">
            <w:drawing>
              <wp:anchor distT="0" distB="0" distL="114300" distR="114300" simplePos="0" relativeHeight="251659264" behindDoc="0" locked="0" layoutInCell="1" allowOverlap="1" wp14:anchorId="015FE0E8" wp14:editId="5643C912">
                <wp:simplePos x="0" y="0"/>
                <wp:positionH relativeFrom="column">
                  <wp:posOffset>1005840</wp:posOffset>
                </wp:positionH>
                <wp:positionV relativeFrom="paragraph">
                  <wp:posOffset>14605</wp:posOffset>
                </wp:positionV>
                <wp:extent cx="45720" cy="411480"/>
                <wp:effectExtent l="0" t="0" r="11430" b="26670"/>
                <wp:wrapNone/>
                <wp:docPr id="9" name="Left Bracke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11480"/>
                        </a:xfrm>
                        <a:prstGeom prst="leftBracket">
                          <a:avLst/>
                        </a:prstGeom>
                        <a:noFill/>
                        <a:ln w="12700" cap="flat" cmpd="sng" algn="ctr">
                          <a:solidFill>
                            <a:sysClr val="windowText" lastClr="000000">
                              <a:alpha val="95000"/>
                            </a:sysClr>
                          </a:solidFill>
                          <a:prstDash val="solid"/>
                        </a:ln>
                        <a:effectLst/>
                      </wps:spPr>
                      <wps:txbx>
                        <w:txbxContent>
                          <w:p w:rsidR="00FE48A6" w:rsidRPr="00DF5F12" w:rsidRDefault="00FE48A6" w:rsidP="0060555C">
                            <w:r w:rsidRPr="003044B1">
                              <w:rPr>
                                <w:rFonts w:ascii="Cambria Math" w:hAnsi="Cambria Math"/>
                                <w:sz w:val="32"/>
                                <w:szCs w:val="32"/>
                              </w:rPr>
                              <w:br/>
                            </w:r>
                            <m:oMathPara>
                              <m:oMath>
                                <m:f>
                                  <m:fPr>
                                    <m:type m:val="noBar"/>
                                    <m:ctrlPr>
                                      <w:rPr>
                                        <w:rFonts w:ascii="Cambria Math" w:hAnsi="Cambria Math"/>
                                        <w:sz w:val="32"/>
                                        <w:szCs w:val="32"/>
                                      </w:rPr>
                                    </m:ctrlPr>
                                  </m:fPr>
                                  <m:num>
                                    <m:r>
                                      <w:rPr>
                                        <w:rFonts w:ascii="Cambria Math" w:hAnsi="Cambria Math"/>
                                        <w:sz w:val="32"/>
                                        <w:szCs w:val="32"/>
                                      </w:rPr>
                                      <m:t xml:space="preserve">  y</m:t>
                                    </m:r>
                                    <m:f>
                                      <m:fPr>
                                        <m:type m:val="noBar"/>
                                        <m:ctrlPr>
                                          <w:rPr>
                                            <w:rFonts w:ascii="Cambria Math" w:hAnsi="Cambria Math"/>
                                            <w:i/>
                                            <w:sz w:val="32"/>
                                            <w:szCs w:val="32"/>
                                          </w:rPr>
                                        </m:ctrlPr>
                                      </m:fPr>
                                      <m:num/>
                                      <m:den>
                                        <m:r>
                                          <w:rPr>
                                            <w:rFonts w:ascii="Cambria Math" w:eastAsia="Cambria Math" w:hAnsi="Cambria Math"/>
                                            <w:sz w:val="32"/>
                                            <w:szCs w:val="32"/>
                                          </w:rPr>
                                          <m:t>t-1</m:t>
                                        </m:r>
                                      </m:den>
                                    </m:f>
                                  </m:num>
                                  <m:den>
                                    <m:r>
                                      <w:rPr>
                                        <w:rFonts w:ascii="Cambria Math" w:hAnsi="Cambria Math"/>
                                        <w:sz w:val="32"/>
                                        <w:szCs w:val="32"/>
                                      </w:rPr>
                                      <m:t>D</m:t>
                                    </m:r>
                                    <m:f>
                                      <m:fPr>
                                        <m:type m:val="noBar"/>
                                        <m:ctrlPr>
                                          <w:rPr>
                                            <w:rFonts w:ascii="Cambria Math" w:hAnsi="Cambria Math"/>
                                            <w:i/>
                                            <w:sz w:val="32"/>
                                            <w:szCs w:val="32"/>
                                          </w:rPr>
                                        </m:ctrlPr>
                                      </m:fPr>
                                      <m:num>
                                        <m:r>
                                          <w:rPr>
                                            <w:rFonts w:ascii="Cambria Math" w:hAnsi="Cambria Math"/>
                                            <w:sz w:val="32"/>
                                            <w:szCs w:val="32"/>
                                          </w:rPr>
                                          <m:t>co</m:t>
                                        </m:r>
                                      </m:num>
                                      <m:den>
                                        <m:r>
                                          <w:rPr>
                                            <w:rFonts w:ascii="Cambria Math" w:eastAsia="Cambria Math" w:hAnsi="Cambria Math"/>
                                            <w:sz w:val="32"/>
                                            <w:szCs w:val="32"/>
                                          </w:rPr>
                                          <m:t>t-1</m:t>
                                        </m:r>
                                      </m:den>
                                    </m:f>
                                  </m:den>
                                </m:f>
                              </m:oMath>
                            </m:oMathPara>
                          </w:p>
                          <w:p w:rsidR="00FE48A6" w:rsidRPr="00DF5F12" w:rsidRDefault="00FE48A6" w:rsidP="0060555C">
                            <w:r w:rsidRPr="003044B1">
                              <w:rPr>
                                <w:rFonts w:ascii="Cambria Math" w:hAnsi="Cambria Math"/>
                                <w:sz w:val="32"/>
                                <w:szCs w:val="32"/>
                              </w:rPr>
                              <w:br/>
                            </w:r>
                            <m:oMathPara>
                              <m:oMath>
                                <m:f>
                                  <m:fPr>
                                    <m:type m:val="noBar"/>
                                    <m:ctrlPr>
                                      <w:rPr>
                                        <w:rFonts w:ascii="Cambria Math" w:hAnsi="Cambria Math"/>
                                        <w:sz w:val="32"/>
                                        <w:szCs w:val="32"/>
                                      </w:rPr>
                                    </m:ctrlPr>
                                  </m:fPr>
                                  <m:num>
                                    <m:r>
                                      <w:rPr>
                                        <w:rFonts w:ascii="Cambria Math" w:hAnsi="Cambria Math"/>
                                        <w:sz w:val="32"/>
                                        <w:szCs w:val="32"/>
                                      </w:rPr>
                                      <m:t xml:space="preserve">  y</m:t>
                                    </m:r>
                                    <m:f>
                                      <m:fPr>
                                        <m:type m:val="noBar"/>
                                        <m:ctrlPr>
                                          <w:rPr>
                                            <w:rFonts w:ascii="Cambria Math" w:hAnsi="Cambria Math"/>
                                            <w:i/>
                                            <w:sz w:val="32"/>
                                            <w:szCs w:val="32"/>
                                          </w:rPr>
                                        </m:ctrlPr>
                                      </m:fPr>
                                      <m:num/>
                                      <m:den>
                                        <m:r>
                                          <w:rPr>
                                            <w:rFonts w:ascii="Cambria Math" w:eastAsia="Cambria Math" w:hAnsi="Cambria Math"/>
                                            <w:sz w:val="32"/>
                                            <w:szCs w:val="32"/>
                                          </w:rPr>
                                          <m:t>t-1</m:t>
                                        </m:r>
                                      </m:den>
                                    </m:f>
                                  </m:num>
                                  <m:den>
                                    <m:r>
                                      <w:rPr>
                                        <w:rFonts w:ascii="Cambria Math" w:hAnsi="Cambria Math"/>
                                        <w:sz w:val="32"/>
                                        <w:szCs w:val="32"/>
                                      </w:rPr>
                                      <m:t>D</m:t>
                                    </m:r>
                                    <m:f>
                                      <m:fPr>
                                        <m:type m:val="noBar"/>
                                        <m:ctrlPr>
                                          <w:rPr>
                                            <w:rFonts w:ascii="Cambria Math" w:hAnsi="Cambria Math"/>
                                            <w:i/>
                                            <w:sz w:val="32"/>
                                            <w:szCs w:val="32"/>
                                          </w:rPr>
                                        </m:ctrlPr>
                                      </m:fPr>
                                      <m:num>
                                        <m:r>
                                          <w:rPr>
                                            <w:rFonts w:ascii="Cambria Math" w:hAnsi="Cambria Math"/>
                                            <w:sz w:val="32"/>
                                            <w:szCs w:val="32"/>
                                          </w:rPr>
                                          <m:t>co</m:t>
                                        </m:r>
                                      </m:num>
                                      <m:den>
                                        <m:r>
                                          <w:rPr>
                                            <w:rFonts w:ascii="Cambria Math" w:eastAsia="Cambria Math" w:hAnsi="Cambria Math"/>
                                            <w:sz w:val="32"/>
                                            <w:szCs w:val="32"/>
                                          </w:rPr>
                                          <m:t>t-1</m:t>
                                        </m:r>
                                      </m:den>
                                    </m:f>
                                  </m:den>
                                </m:f>
                              </m:oMath>
                            </m:oMathPara>
                          </w:p>
                          <w:p w:rsidR="00FE48A6" w:rsidRPr="0021601D" w:rsidRDefault="00FE48A6" w:rsidP="006055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5FE0E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9" o:spid="_x0000_s1026" type="#_x0000_t85" style="position:absolute;left:0;text-align:left;margin-left:79.2pt;margin-top:1.1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zJhQIAABEFAAAOAAAAZHJzL2Uyb0RvYy54bWysVE1vGyEQvVfqf0Dcm7Utp4lXsSM3UapK&#10;VmIpqXIes6x3FRYoYO+6v74Pdp24aU9VOaCBGebjzRuurrtGsb10vjZ6zsdnI86kFqao9XbOvz/d&#10;fbrkzAfSBSmj5ZwfpOfXi48frlqby4mpjCqkY3Cifd7aOa9CsHmWeVHJhvyZsVJDWRrXUMDRbbPC&#10;UQvvjcomo9HnrDWusM4I6T1ub3slXyT/ZSlFeChLLwNTc47cQtpd2jdxzxZXlG8d2aoWQxr0D1k0&#10;VGsEfXV1S4HYztV/uGpq4Yw3ZTgTpslMWdZCphpQzXj0rprHiqxMtQAcb19h8v/Prbjfrx2rizmf&#10;caapQYtWsgzsiyPxAthmEaHW+hyGj3btYo3erox48VBkv2niwQ82XemaaIsKWZfgPrzCLbvABC6n&#10;5xcT9ERAMx2Pp5epGxnlx7fW+fBVmoZFYc4V8hrSSlDTfuVDTILyo2WMqM1drVTqq9KsBSknF6MY&#10;hkCvUlGA2FgU7PWWM1Jb8FYEl1x6o+oiPk9lHvyNcmxPoA4YV5j2CZlzpsgHKFBOWn0uylbUm87O&#10;cR1RQ14+uejFU9cx31vyVf8iRR1eKB1Dy8Tcobw3WKMUuk0H51HcmOKA5jnTs9pbcVfD8Qr5rcmB&#10;xqgaoxkesJXKAAozSJxVxv382320B7ug5azFWACmHztyEmV/0+DdbDydxjlKh6GB7lSzOdXoXXNj&#10;AN8Yn4AVScRjF9RRLJ1pnjHByxgVKtICsfuGDIeb0I8r/gAhl8tkhtmxFFb60YroPEIWIX3qnsnZ&#10;gS4Bzbo3xxGi/B1detueMMtdMGWduPSG68BuzF3q3/BHxME+PSert59s8QsAAP//AwBQSwMEFAAG&#10;AAgAAAAhAE5WBEXeAAAACAEAAA8AAABkcnMvZG93bnJldi54bWxMj8FOwzAQRO9I/IO1SNyo00Dd&#10;EOJUVSUugJAoLWc3XuJAvA6xmwS+HvcEx9GMZt4Uq8m2bMDeN44kzGcJMKTK6YZqCbvX+6sMmA+K&#10;tGodoYRv9LAqz88KlWs30gsO21CzWEI+VxJMCF3Oua8MWuVnrkOK3rvrrQpR9jXXvRpjuW15miSC&#10;W9VQXDCqw43B6nN7tBKS4etx/7xb/9yKt4ePUWzSzDxZKS8vpvUdsIBT+AvDCT+iQxmZDu5I2rM2&#10;6kV2E6MS0mtgJ18sBLCDBLGcAy8L/v9A+QsAAP//AwBQSwECLQAUAAYACAAAACEAtoM4kv4AAADh&#10;AQAAEwAAAAAAAAAAAAAAAAAAAAAAW0NvbnRlbnRfVHlwZXNdLnhtbFBLAQItABQABgAIAAAAIQA4&#10;/SH/1gAAAJQBAAALAAAAAAAAAAAAAAAAAC8BAABfcmVscy8ucmVsc1BLAQItABQABgAIAAAAIQA9&#10;NizJhQIAABEFAAAOAAAAAAAAAAAAAAAAAC4CAABkcnMvZTJvRG9jLnhtbFBLAQItABQABgAIAAAA&#10;IQBOVgRF3gAAAAgBAAAPAAAAAAAAAAAAAAAAAN8EAABkcnMvZG93bnJldi54bWxQSwUGAAAAAAQA&#10;BADzAAAA6gUAAAAA&#10;" adj="200" strokecolor="windowText" strokeweight="1pt">
                <v:stroke opacity="62194f"/>
                <v:textbox>
                  <w:txbxContent>
                    <w:p w:rsidR="00FE48A6" w:rsidRPr="00DF5F12" w:rsidRDefault="00FE48A6" w:rsidP="0060555C">
                      <w:r w:rsidRPr="003044B1">
                        <w:rPr>
                          <w:rFonts w:ascii="Cambria Math" w:hAnsi="Cambria Math"/>
                          <w:sz w:val="32"/>
                          <w:szCs w:val="32"/>
                        </w:rPr>
                        <w:br/>
                      </w:r>
                      <m:oMathPara>
                        <m:oMath>
                          <m:f>
                            <m:fPr>
                              <m:type m:val="noBar"/>
                              <m:ctrlPr>
                                <w:rPr>
                                  <w:rFonts w:ascii="Cambria Math" w:hAnsi="Cambria Math"/>
                                  <w:sz w:val="32"/>
                                  <w:szCs w:val="32"/>
                                </w:rPr>
                              </m:ctrlPr>
                            </m:fPr>
                            <m:num>
                              <m:r>
                                <w:rPr>
                                  <w:rFonts w:ascii="Cambria Math" w:hAnsi="Cambria Math"/>
                                  <w:sz w:val="32"/>
                                  <w:szCs w:val="32"/>
                                </w:rPr>
                                <m:t xml:space="preserve">  y</m:t>
                              </m:r>
                              <m:f>
                                <m:fPr>
                                  <m:type m:val="noBar"/>
                                  <m:ctrlPr>
                                    <w:rPr>
                                      <w:rFonts w:ascii="Cambria Math" w:hAnsi="Cambria Math"/>
                                      <w:i/>
                                      <w:sz w:val="32"/>
                                      <w:szCs w:val="32"/>
                                    </w:rPr>
                                  </m:ctrlPr>
                                </m:fPr>
                                <m:num/>
                                <m:den>
                                  <m:r>
                                    <w:rPr>
                                      <w:rFonts w:ascii="Cambria Math" w:eastAsia="Cambria Math" w:hAnsi="Cambria Math"/>
                                      <w:sz w:val="32"/>
                                      <w:szCs w:val="32"/>
                                    </w:rPr>
                                    <m:t>t-1</m:t>
                                  </m:r>
                                </m:den>
                              </m:f>
                            </m:num>
                            <m:den>
                              <m:r>
                                <w:rPr>
                                  <w:rFonts w:ascii="Cambria Math" w:hAnsi="Cambria Math"/>
                                  <w:sz w:val="32"/>
                                  <w:szCs w:val="32"/>
                                </w:rPr>
                                <m:t>D</m:t>
                              </m:r>
                              <m:f>
                                <m:fPr>
                                  <m:type m:val="noBar"/>
                                  <m:ctrlPr>
                                    <w:rPr>
                                      <w:rFonts w:ascii="Cambria Math" w:hAnsi="Cambria Math"/>
                                      <w:i/>
                                      <w:sz w:val="32"/>
                                      <w:szCs w:val="32"/>
                                    </w:rPr>
                                  </m:ctrlPr>
                                </m:fPr>
                                <m:num>
                                  <m:r>
                                    <w:rPr>
                                      <w:rFonts w:ascii="Cambria Math" w:hAnsi="Cambria Math"/>
                                      <w:sz w:val="32"/>
                                      <w:szCs w:val="32"/>
                                    </w:rPr>
                                    <m:t>co</m:t>
                                  </m:r>
                                </m:num>
                                <m:den>
                                  <m:r>
                                    <w:rPr>
                                      <w:rFonts w:ascii="Cambria Math" w:eastAsia="Cambria Math" w:hAnsi="Cambria Math"/>
                                      <w:sz w:val="32"/>
                                      <w:szCs w:val="32"/>
                                    </w:rPr>
                                    <m:t>t-1</m:t>
                                  </m:r>
                                </m:den>
                              </m:f>
                            </m:den>
                          </m:f>
                        </m:oMath>
                      </m:oMathPara>
                    </w:p>
                    <w:p w:rsidR="00FE48A6" w:rsidRPr="00DF5F12" w:rsidRDefault="00FE48A6" w:rsidP="0060555C">
                      <w:r w:rsidRPr="003044B1">
                        <w:rPr>
                          <w:rFonts w:ascii="Cambria Math" w:hAnsi="Cambria Math"/>
                          <w:sz w:val="32"/>
                          <w:szCs w:val="32"/>
                        </w:rPr>
                        <w:br/>
                      </w:r>
                      <m:oMathPara>
                        <m:oMath>
                          <m:f>
                            <m:fPr>
                              <m:type m:val="noBar"/>
                              <m:ctrlPr>
                                <w:rPr>
                                  <w:rFonts w:ascii="Cambria Math" w:hAnsi="Cambria Math"/>
                                  <w:sz w:val="32"/>
                                  <w:szCs w:val="32"/>
                                </w:rPr>
                              </m:ctrlPr>
                            </m:fPr>
                            <m:num>
                              <m:r>
                                <w:rPr>
                                  <w:rFonts w:ascii="Cambria Math" w:hAnsi="Cambria Math"/>
                                  <w:sz w:val="32"/>
                                  <w:szCs w:val="32"/>
                                </w:rPr>
                                <m:t xml:space="preserve">  y</m:t>
                              </m:r>
                              <m:f>
                                <m:fPr>
                                  <m:type m:val="noBar"/>
                                  <m:ctrlPr>
                                    <w:rPr>
                                      <w:rFonts w:ascii="Cambria Math" w:hAnsi="Cambria Math"/>
                                      <w:i/>
                                      <w:sz w:val="32"/>
                                      <w:szCs w:val="32"/>
                                    </w:rPr>
                                  </m:ctrlPr>
                                </m:fPr>
                                <m:num/>
                                <m:den>
                                  <m:r>
                                    <w:rPr>
                                      <w:rFonts w:ascii="Cambria Math" w:eastAsia="Cambria Math" w:hAnsi="Cambria Math"/>
                                      <w:sz w:val="32"/>
                                      <w:szCs w:val="32"/>
                                    </w:rPr>
                                    <m:t>t-1</m:t>
                                  </m:r>
                                </m:den>
                              </m:f>
                            </m:num>
                            <m:den>
                              <m:r>
                                <w:rPr>
                                  <w:rFonts w:ascii="Cambria Math" w:hAnsi="Cambria Math"/>
                                  <w:sz w:val="32"/>
                                  <w:szCs w:val="32"/>
                                </w:rPr>
                                <m:t>D</m:t>
                              </m:r>
                              <m:f>
                                <m:fPr>
                                  <m:type m:val="noBar"/>
                                  <m:ctrlPr>
                                    <w:rPr>
                                      <w:rFonts w:ascii="Cambria Math" w:hAnsi="Cambria Math"/>
                                      <w:i/>
                                      <w:sz w:val="32"/>
                                      <w:szCs w:val="32"/>
                                    </w:rPr>
                                  </m:ctrlPr>
                                </m:fPr>
                                <m:num>
                                  <m:r>
                                    <w:rPr>
                                      <w:rFonts w:ascii="Cambria Math" w:hAnsi="Cambria Math"/>
                                      <w:sz w:val="32"/>
                                      <w:szCs w:val="32"/>
                                    </w:rPr>
                                    <m:t>co</m:t>
                                  </m:r>
                                </m:num>
                                <m:den>
                                  <m:r>
                                    <w:rPr>
                                      <w:rFonts w:ascii="Cambria Math" w:eastAsia="Cambria Math" w:hAnsi="Cambria Math"/>
                                      <w:sz w:val="32"/>
                                      <w:szCs w:val="32"/>
                                    </w:rPr>
                                    <m:t>t-1</m:t>
                                  </m:r>
                                </m:den>
                              </m:f>
                            </m:den>
                          </m:f>
                        </m:oMath>
                      </m:oMathPara>
                    </w:p>
                    <w:p w:rsidR="00FE48A6" w:rsidRPr="0021601D" w:rsidRDefault="00FE48A6" w:rsidP="0060555C">
                      <w:pPr>
                        <w:jc w:val="center"/>
                      </w:pPr>
                    </w:p>
                  </w:txbxContent>
                </v:textbox>
              </v:shape>
            </w:pict>
          </mc:Fallback>
        </mc:AlternateContent>
      </w:r>
      <w:r w:rsidR="00FE48A6" w:rsidRPr="00124F23">
        <w:rPr>
          <w:rFonts w:ascii="Times New Roman" w:hAnsi="Times New Roman"/>
          <w:sz w:val="24"/>
          <w:lang w:val="ru-RU"/>
        </w:rPr>
        <w:t>Г</w:t>
      </w:r>
      <w:r w:rsidR="00FE48A6" w:rsidRPr="00124F23">
        <w:rPr>
          <w:rFonts w:ascii="Times New Roman" w:hAnsi="Times New Roman"/>
          <w:sz w:val="24"/>
          <w:vertAlign w:val="subscript"/>
          <w:lang w:val="ru-RU"/>
        </w:rPr>
        <w:t>0</w:t>
      </w:r>
      <w:r w:rsidR="00FE48A6" w:rsidRPr="00124F23">
        <w:rPr>
          <w:rFonts w:ascii="Times New Roman" w:hAnsi="Times New Roman"/>
          <w:sz w:val="24"/>
        </w:rPr>
        <w:t>Δ</w:t>
      </w:r>
      <w:r w:rsidR="00FE48A6" w:rsidRPr="00124F23">
        <w:rPr>
          <w:rFonts w:ascii="Times New Roman" w:hAnsi="Times New Roman"/>
          <w:i/>
          <w:sz w:val="24"/>
        </w:rPr>
        <w:t>y</w:t>
      </w:r>
      <w:r w:rsidR="00FE48A6" w:rsidRPr="00124F23">
        <w:rPr>
          <w:rFonts w:ascii="Times New Roman" w:hAnsi="Times New Roman"/>
          <w:i/>
          <w:sz w:val="24"/>
          <w:vertAlign w:val="subscript"/>
        </w:rPr>
        <w:t>t</w:t>
      </w:r>
      <w:r w:rsidR="00FE48A6" w:rsidRPr="00124F23">
        <w:rPr>
          <w:rFonts w:ascii="Times New Roman" w:hAnsi="Times New Roman"/>
          <w:i/>
          <w:sz w:val="24"/>
          <w:lang w:val="ru-RU"/>
        </w:rPr>
        <w:t>=</w:t>
      </w:r>
      <w:r w:rsidR="00FE48A6" w:rsidRPr="00124F23">
        <w:rPr>
          <w:rFonts w:ascii="Times New Roman" w:hAnsi="Times New Roman"/>
          <w:i/>
          <w:sz w:val="24"/>
        </w:rPr>
        <w:t>α</w:t>
      </w:r>
      <w:r w:rsidR="00FE48A6" w:rsidRPr="00124F23">
        <w:rPr>
          <w:rFonts w:ascii="Times New Roman" w:hAnsi="Times New Roman"/>
          <w:i/>
          <w:sz w:val="24"/>
          <w:lang w:val="ru-RU"/>
        </w:rPr>
        <w:t xml:space="preserve"> [</w:t>
      </w:r>
      <w:r w:rsidR="00FE48A6" w:rsidRPr="00124F23">
        <w:rPr>
          <w:rFonts w:ascii="Times New Roman" w:hAnsi="Times New Roman"/>
          <w:i/>
          <w:sz w:val="24"/>
        </w:rPr>
        <w:t>β</w:t>
      </w:r>
      <w:r w:rsidR="00FE48A6" w:rsidRPr="00124F23">
        <w:rPr>
          <w:rFonts w:ascii="Times New Roman" w:hAnsi="Times New Roman"/>
          <w:i/>
          <w:sz w:val="24"/>
          <w:lang w:val="ru-RU"/>
        </w:rPr>
        <w:t>':</w:t>
      </w:r>
      <w:r w:rsidR="00FE48A6" w:rsidRPr="00124F23">
        <w:rPr>
          <w:rFonts w:ascii="Lucida Sans Unicode" w:hAnsi="Lucida Sans Unicode" w:cs="Lucida Sans Unicode"/>
          <w:i/>
          <w:sz w:val="24"/>
          <w:lang w:val="ru-RU"/>
        </w:rPr>
        <w:t>ɳ</w:t>
      </w:r>
      <w:r w:rsidR="00FE48A6" w:rsidRPr="00124F23">
        <w:rPr>
          <w:rFonts w:ascii="Times New Roman" w:hAnsi="Times New Roman"/>
          <w:i/>
          <w:sz w:val="24"/>
          <w:lang w:val="ru-RU"/>
        </w:rPr>
        <w:t xml:space="preserve">']   </w:t>
      </w:r>
      <m:oMath>
        <m:f>
          <m:fPr>
            <m:type m:val="noBar"/>
            <m:ctrlPr>
              <w:rPr>
                <w:rFonts w:ascii="Cambria Math" w:hAnsi="Cambria Math"/>
                <w:sz w:val="24"/>
              </w:rPr>
            </m:ctrlPr>
          </m:fPr>
          <m:num>
            <m:r>
              <w:rPr>
                <w:rFonts w:ascii="Cambria Math" w:hAnsi="Cambria Math"/>
                <w:sz w:val="24"/>
              </w:rPr>
              <m:t xml:space="preserve">  y</m:t>
            </m:r>
            <m:f>
              <m:fPr>
                <m:type m:val="noBar"/>
                <m:ctrlPr>
                  <w:rPr>
                    <w:rFonts w:ascii="Cambria Math" w:hAnsi="Cambria Math"/>
                    <w:i/>
                    <w:sz w:val="24"/>
                  </w:rPr>
                </m:ctrlPr>
              </m:fPr>
              <m:num>
                <m:r>
                  <w:rPr>
                    <w:rFonts w:ascii="Cambria Math" w:hAnsi="Cambria Math"/>
                    <w:color w:val="FFFFFF"/>
                    <w:sz w:val="24"/>
                  </w:rPr>
                  <m:t>1</m:t>
                </m:r>
              </m:num>
              <m:den>
                <m:r>
                  <w:rPr>
                    <w:rFonts w:ascii="Cambria Math" w:eastAsia="Cambria Math" w:hAnsi="Cambria Math"/>
                    <w:sz w:val="24"/>
                  </w:rPr>
                  <m:t>t-1</m:t>
                </m:r>
              </m:den>
            </m:f>
          </m:num>
          <m:den>
            <m:r>
              <w:rPr>
                <w:rFonts w:ascii="Cambria Math" w:hAnsi="Cambria Math"/>
                <w:sz w:val="24"/>
              </w:rPr>
              <m:t>D</m:t>
            </m:r>
            <m:f>
              <m:fPr>
                <m:type m:val="noBar"/>
                <m:ctrlPr>
                  <w:rPr>
                    <w:rFonts w:ascii="Cambria Math" w:hAnsi="Cambria Math"/>
                    <w:i/>
                    <w:sz w:val="24"/>
                  </w:rPr>
                </m:ctrlPr>
              </m:fPr>
              <m:num>
                <m:r>
                  <w:rPr>
                    <w:rFonts w:ascii="Cambria Math" w:hAnsi="Cambria Math"/>
                    <w:sz w:val="24"/>
                  </w:rPr>
                  <m:t>co</m:t>
                </m:r>
              </m:num>
              <m:den>
                <m:r>
                  <w:rPr>
                    <w:rFonts w:ascii="Cambria Math" w:eastAsia="Cambria Math" w:hAnsi="Cambria Math"/>
                    <w:sz w:val="24"/>
                  </w:rPr>
                  <m:t>t-1</m:t>
                </m:r>
              </m:den>
            </m:f>
          </m:den>
        </m:f>
      </m:oMath>
      <w:r w:rsidR="00FE48A6" w:rsidRPr="00124F23">
        <w:rPr>
          <w:rFonts w:ascii="Times New Roman" w:hAnsi="Times New Roman"/>
          <w:i/>
          <w:sz w:val="24"/>
          <w:lang w:val="ru-RU"/>
        </w:rPr>
        <w:t xml:space="preserve">    +</w:t>
      </w:r>
      <w:r w:rsidR="00FE48A6" w:rsidRPr="00124F23">
        <w:rPr>
          <w:rFonts w:ascii="Times New Roman" w:hAnsi="Times New Roman"/>
          <w:sz w:val="24"/>
          <w:lang w:val="ru-RU"/>
        </w:rPr>
        <w:t xml:space="preserve"> Г</w:t>
      </w:r>
      <w:r w:rsidR="00FE48A6" w:rsidRPr="00124F23">
        <w:rPr>
          <w:rFonts w:ascii="Times New Roman" w:hAnsi="Times New Roman"/>
          <w:sz w:val="24"/>
          <w:vertAlign w:val="subscript"/>
          <w:lang w:val="ru-RU"/>
        </w:rPr>
        <w:t>1</w:t>
      </w:r>
      <w:r w:rsidR="00FE48A6" w:rsidRPr="00124F23">
        <w:rPr>
          <w:rFonts w:ascii="Times New Roman" w:hAnsi="Times New Roman"/>
          <w:sz w:val="24"/>
        </w:rPr>
        <w:t>Δ</w:t>
      </w:r>
      <w:r w:rsidR="00FE48A6" w:rsidRPr="00124F23">
        <w:rPr>
          <w:rFonts w:ascii="Times New Roman" w:hAnsi="Times New Roman"/>
          <w:i/>
          <w:sz w:val="24"/>
        </w:rPr>
        <w:t>y</w:t>
      </w:r>
      <w:r w:rsidR="00FE48A6" w:rsidRPr="00124F23">
        <w:rPr>
          <w:rFonts w:ascii="Times New Roman" w:hAnsi="Times New Roman"/>
          <w:i/>
          <w:sz w:val="24"/>
          <w:vertAlign w:val="subscript"/>
        </w:rPr>
        <w:t>t</w:t>
      </w:r>
      <w:r w:rsidR="00FE48A6" w:rsidRPr="00124F23">
        <w:rPr>
          <w:rFonts w:ascii="Times New Roman" w:hAnsi="Times New Roman"/>
          <w:i/>
          <w:sz w:val="24"/>
          <w:vertAlign w:val="subscript"/>
          <w:lang w:val="ru-RU"/>
        </w:rPr>
        <w:t xml:space="preserve">-1  </w:t>
      </w:r>
      <w:r w:rsidR="00FE48A6" w:rsidRPr="00124F23">
        <w:rPr>
          <w:rFonts w:ascii="Times New Roman" w:hAnsi="Times New Roman"/>
          <w:sz w:val="24"/>
          <w:lang w:val="ru-RU"/>
        </w:rPr>
        <w:t>+…+ Г</w:t>
      </w:r>
      <w:r w:rsidR="00FE48A6" w:rsidRPr="00124F23">
        <w:rPr>
          <w:rFonts w:ascii="Times New Roman" w:hAnsi="Times New Roman"/>
          <w:sz w:val="24"/>
          <w:vertAlign w:val="subscript"/>
        </w:rPr>
        <w:t>p</w:t>
      </w:r>
      <w:r w:rsidR="00FE48A6" w:rsidRPr="00124F23">
        <w:rPr>
          <w:rFonts w:ascii="Times New Roman" w:hAnsi="Times New Roman"/>
          <w:sz w:val="24"/>
        </w:rPr>
        <w:t>Δ</w:t>
      </w:r>
      <w:r w:rsidR="00FE48A6" w:rsidRPr="00124F23">
        <w:rPr>
          <w:rFonts w:ascii="Times New Roman" w:hAnsi="Times New Roman"/>
          <w:i/>
          <w:sz w:val="24"/>
        </w:rPr>
        <w:t>y</w:t>
      </w:r>
      <w:r w:rsidR="00FE48A6" w:rsidRPr="00124F23">
        <w:rPr>
          <w:rFonts w:ascii="Times New Roman" w:hAnsi="Times New Roman"/>
          <w:i/>
          <w:sz w:val="24"/>
          <w:vertAlign w:val="subscript"/>
        </w:rPr>
        <w:t>t</w:t>
      </w:r>
      <w:r w:rsidR="00FE48A6" w:rsidRPr="00124F23">
        <w:rPr>
          <w:rFonts w:ascii="Times New Roman" w:hAnsi="Times New Roman"/>
          <w:i/>
          <w:sz w:val="24"/>
          <w:vertAlign w:val="subscript"/>
          <w:lang w:val="ru-RU"/>
        </w:rPr>
        <w:t>-</w:t>
      </w:r>
      <w:r w:rsidR="00FE48A6" w:rsidRPr="00124F23">
        <w:rPr>
          <w:rFonts w:ascii="Times New Roman" w:hAnsi="Times New Roman"/>
          <w:i/>
          <w:sz w:val="24"/>
          <w:vertAlign w:val="subscript"/>
        </w:rPr>
        <w:t>p</w:t>
      </w:r>
      <w:r w:rsidR="00FE48A6" w:rsidRPr="00124F23">
        <w:rPr>
          <w:rFonts w:ascii="Times New Roman" w:hAnsi="Times New Roman"/>
          <w:i/>
          <w:sz w:val="24"/>
          <w:vertAlign w:val="subscript"/>
          <w:lang w:val="ru-RU"/>
        </w:rPr>
        <w:t xml:space="preserve"> </w:t>
      </w:r>
      <w:r w:rsidR="00FE48A6" w:rsidRPr="00124F23">
        <w:rPr>
          <w:rFonts w:ascii="Times New Roman" w:hAnsi="Times New Roman"/>
          <w:sz w:val="24"/>
          <w:lang w:val="ru-RU"/>
        </w:rPr>
        <w:t xml:space="preserve">   + </w:t>
      </w:r>
      <w:r w:rsidR="00FE48A6" w:rsidRPr="00124F23">
        <w:rPr>
          <w:rFonts w:ascii="Times New Roman" w:hAnsi="Times New Roman"/>
          <w:i/>
          <w:sz w:val="24"/>
        </w:rPr>
        <w:t>B</w:t>
      </w:r>
      <w:r w:rsidR="00FE48A6" w:rsidRPr="00124F23">
        <w:rPr>
          <w:rFonts w:ascii="Times New Roman" w:hAnsi="Times New Roman"/>
          <w:i/>
          <w:sz w:val="24"/>
          <w:vertAlign w:val="subscript"/>
          <w:lang w:val="ru-RU"/>
        </w:rPr>
        <w:t>0</w:t>
      </w:r>
      <w:r w:rsidR="00FE48A6" w:rsidRPr="00124F23">
        <w:rPr>
          <w:rFonts w:ascii="Times New Roman" w:hAnsi="Times New Roman"/>
          <w:i/>
          <w:sz w:val="24"/>
        </w:rPr>
        <w:t>x</w:t>
      </w:r>
      <w:r w:rsidR="00FE48A6" w:rsidRPr="00124F23">
        <w:rPr>
          <w:rFonts w:ascii="Times New Roman" w:hAnsi="Times New Roman"/>
          <w:i/>
          <w:sz w:val="24"/>
          <w:vertAlign w:val="subscript"/>
        </w:rPr>
        <w:t>t</w:t>
      </w:r>
      <w:r w:rsidR="00FE48A6" w:rsidRPr="00124F23">
        <w:rPr>
          <w:rFonts w:ascii="Times New Roman" w:hAnsi="Times New Roman"/>
          <w:i/>
          <w:sz w:val="24"/>
          <w:vertAlign w:val="subscript"/>
          <w:lang w:val="ru-RU"/>
        </w:rPr>
        <w:t xml:space="preserve"> </w:t>
      </w:r>
      <w:r w:rsidR="00FE48A6" w:rsidRPr="00124F23">
        <w:rPr>
          <w:rFonts w:ascii="Times New Roman" w:hAnsi="Times New Roman"/>
          <w:sz w:val="24"/>
          <w:lang w:val="ru-RU"/>
        </w:rPr>
        <w:t>+…+</w:t>
      </w:r>
      <w:r w:rsidR="00FE48A6" w:rsidRPr="00124F23">
        <w:rPr>
          <w:rFonts w:ascii="Times New Roman" w:hAnsi="Times New Roman"/>
          <w:i/>
          <w:sz w:val="24"/>
        </w:rPr>
        <w:t>B</w:t>
      </w:r>
      <w:r w:rsidR="00FE48A6" w:rsidRPr="00124F23">
        <w:rPr>
          <w:rFonts w:ascii="Times New Roman" w:hAnsi="Times New Roman"/>
          <w:i/>
          <w:sz w:val="24"/>
          <w:vertAlign w:val="subscript"/>
        </w:rPr>
        <w:t>q</w:t>
      </w:r>
      <w:r w:rsidR="00FE48A6" w:rsidRPr="00124F23">
        <w:rPr>
          <w:rFonts w:ascii="Times New Roman" w:hAnsi="Times New Roman"/>
          <w:i/>
          <w:sz w:val="24"/>
        </w:rPr>
        <w:t>x</w:t>
      </w:r>
      <w:r w:rsidR="00FE48A6" w:rsidRPr="00124F23">
        <w:rPr>
          <w:rFonts w:ascii="Times New Roman" w:hAnsi="Times New Roman"/>
          <w:i/>
          <w:sz w:val="24"/>
          <w:vertAlign w:val="subscript"/>
        </w:rPr>
        <w:t>t</w:t>
      </w:r>
      <w:r w:rsidR="00FE48A6" w:rsidRPr="00124F23">
        <w:rPr>
          <w:rFonts w:ascii="Times New Roman" w:hAnsi="Times New Roman"/>
          <w:i/>
          <w:sz w:val="24"/>
          <w:vertAlign w:val="subscript"/>
          <w:lang w:val="ru-RU"/>
        </w:rPr>
        <w:t>-</w:t>
      </w:r>
      <w:r w:rsidR="00FE48A6" w:rsidRPr="00124F23">
        <w:rPr>
          <w:rFonts w:ascii="Times New Roman" w:hAnsi="Times New Roman"/>
          <w:i/>
          <w:sz w:val="24"/>
          <w:vertAlign w:val="subscript"/>
        </w:rPr>
        <w:t>q</w:t>
      </w:r>
      <w:r w:rsidR="00FE48A6" w:rsidRPr="00124F23">
        <w:rPr>
          <w:rFonts w:ascii="Times New Roman" w:hAnsi="Times New Roman"/>
          <w:i/>
          <w:sz w:val="24"/>
          <w:vertAlign w:val="subscript"/>
          <w:lang w:val="ru-RU"/>
        </w:rPr>
        <w:t xml:space="preserve"> </w:t>
      </w:r>
      <w:r w:rsidR="00FE48A6" w:rsidRPr="00124F23">
        <w:rPr>
          <w:rFonts w:ascii="Times New Roman" w:hAnsi="Times New Roman"/>
          <w:sz w:val="24"/>
          <w:lang w:val="ru-RU"/>
        </w:rPr>
        <w:t xml:space="preserve"> + </w:t>
      </w:r>
      <w:r w:rsidR="00FE48A6" w:rsidRPr="00124F23">
        <w:rPr>
          <w:rFonts w:ascii="Times New Roman" w:hAnsi="Times New Roman"/>
          <w:sz w:val="24"/>
        </w:rPr>
        <w:t>CD</w:t>
      </w:r>
      <w:r w:rsidR="00FE48A6" w:rsidRPr="00124F23">
        <w:rPr>
          <w:rFonts w:ascii="Times New Roman" w:hAnsi="Times New Roman"/>
          <w:sz w:val="24"/>
          <w:vertAlign w:val="subscript"/>
        </w:rPr>
        <w:t>t</w:t>
      </w:r>
      <w:r w:rsidR="00FE48A6" w:rsidRPr="00124F23">
        <w:rPr>
          <w:rFonts w:ascii="Times New Roman" w:hAnsi="Times New Roman"/>
          <w:sz w:val="24"/>
          <w:lang w:val="ru-RU"/>
        </w:rPr>
        <w:t xml:space="preserve"> + </w:t>
      </w:r>
      <w:r w:rsidR="00FE48A6" w:rsidRPr="00124F23">
        <w:rPr>
          <w:rFonts w:ascii="Times New Roman" w:hAnsi="Times New Roman"/>
          <w:i/>
          <w:sz w:val="24"/>
        </w:rPr>
        <w:t>u</w:t>
      </w:r>
      <w:r w:rsidR="00FE48A6" w:rsidRPr="00124F23">
        <w:rPr>
          <w:rFonts w:ascii="Times New Roman" w:hAnsi="Times New Roman"/>
          <w:i/>
          <w:sz w:val="24"/>
          <w:vertAlign w:val="subscript"/>
        </w:rPr>
        <w:t>t</w:t>
      </w:r>
      <w:r w:rsidR="00FE48A6" w:rsidRPr="00151E77">
        <w:rPr>
          <w:rFonts w:ascii="Times New Roman" w:hAnsi="Times New Roman"/>
          <w:i/>
          <w:sz w:val="24"/>
          <w:vertAlign w:val="subscript"/>
          <w:lang w:val="ru-RU"/>
        </w:rPr>
        <w:t xml:space="preserve">                        </w:t>
      </w:r>
      <w:r w:rsidR="00FE48A6" w:rsidRPr="00151E77">
        <w:rPr>
          <w:rFonts w:ascii="Times New Roman" w:hAnsi="Times New Roman"/>
          <w:sz w:val="24"/>
          <w:lang w:val="ru-RU"/>
        </w:rPr>
        <w:t>(1)</w:t>
      </w:r>
    </w:p>
    <w:p w:rsidR="00FE48A6" w:rsidRPr="00124F23" w:rsidRDefault="00FE48A6" w:rsidP="008E5660">
      <w:pPr>
        <w:spacing w:after="0"/>
        <w:ind w:left="900"/>
        <w:textAlignment w:val="baseline"/>
        <w:rPr>
          <w:rFonts w:ascii="Times New Roman" w:hAnsi="Times New Roman"/>
          <w:color w:val="000000"/>
          <w:kern w:val="24"/>
          <w:sz w:val="24"/>
          <w:lang w:val="ru-RU"/>
        </w:rPr>
      </w:pPr>
    </w:p>
    <w:p w:rsidR="00FE48A6" w:rsidRPr="00124F23" w:rsidRDefault="00FE48A6" w:rsidP="008E5660">
      <w:pPr>
        <w:autoSpaceDE w:val="0"/>
        <w:autoSpaceDN w:val="0"/>
        <w:adjustRightInd w:val="0"/>
        <w:spacing w:after="0"/>
        <w:ind w:left="900"/>
        <w:rPr>
          <w:rFonts w:ascii="Times New Roman" w:hAnsi="Times New Roman"/>
          <w:color w:val="000000"/>
          <w:kern w:val="24"/>
          <w:sz w:val="24"/>
        </w:rPr>
      </w:pPr>
      <w:r w:rsidRPr="00124F23">
        <w:rPr>
          <w:rFonts w:ascii="Times New Roman" w:hAnsi="Times New Roman"/>
          <w:color w:val="000000"/>
          <w:kern w:val="24"/>
          <w:sz w:val="24"/>
        </w:rPr>
        <w:t xml:space="preserve">Where yt is a vector of endogenous variables (FDI, GDPG, BP, LABPRD, OPEN), </w:t>
      </w:r>
      <w:r w:rsidRPr="00124F23">
        <w:rPr>
          <w:rFonts w:ascii="Times New Roman" w:hAnsi="Times New Roman"/>
          <w:bCs/>
          <w:color w:val="000000"/>
          <w:kern w:val="24"/>
          <w:sz w:val="24"/>
        </w:rPr>
        <w:t>X</w:t>
      </w:r>
      <w:r w:rsidRPr="00124F23">
        <w:rPr>
          <w:rFonts w:ascii="Times New Roman" w:hAnsi="Times New Roman"/>
          <w:color w:val="000000"/>
          <w:kern w:val="24"/>
          <w:sz w:val="24"/>
        </w:rPr>
        <w:t>t is a vector of exogenous variables (POLICY, INSTIT)</w:t>
      </w:r>
      <w:r w:rsidRPr="00124F23">
        <w:rPr>
          <w:rFonts w:ascii="Times New Roman" w:hAnsi="Times New Roman"/>
          <w:sz w:val="24"/>
        </w:rPr>
        <w:t xml:space="preserve"> and </w:t>
      </w:r>
      <w:r w:rsidRPr="00124F23">
        <w:rPr>
          <w:rFonts w:ascii="Times New Roman" w:hAnsi="Times New Roman"/>
          <w:bCs/>
          <w:color w:val="000000"/>
          <w:kern w:val="24"/>
          <w:sz w:val="24"/>
        </w:rPr>
        <w:t>D</w:t>
      </w:r>
      <w:r w:rsidRPr="00124F23">
        <w:rPr>
          <w:rFonts w:ascii="Times New Roman" w:hAnsi="Times New Roman"/>
          <w:color w:val="000000"/>
          <w:kern w:val="24"/>
          <w:sz w:val="24"/>
        </w:rPr>
        <w:t>t contains all determinant components.</w:t>
      </w:r>
    </w:p>
    <w:p w:rsidR="00FE48A6" w:rsidRPr="00124F23" w:rsidRDefault="00FE48A6" w:rsidP="008E5660">
      <w:pPr>
        <w:autoSpaceDE w:val="0"/>
        <w:autoSpaceDN w:val="0"/>
        <w:adjustRightInd w:val="0"/>
        <w:spacing w:after="0"/>
        <w:ind w:left="900"/>
        <w:rPr>
          <w:rFonts w:ascii="Times New Roman" w:hAnsi="Times New Roman"/>
          <w:color w:val="000000"/>
          <w:kern w:val="24"/>
          <w:sz w:val="24"/>
        </w:rPr>
      </w:pPr>
    </w:p>
    <w:p w:rsidR="00FE48A6" w:rsidRPr="00124F23" w:rsidRDefault="00FE48A6" w:rsidP="008E5660">
      <w:pPr>
        <w:spacing w:after="0"/>
        <w:ind w:left="900"/>
        <w:textAlignment w:val="top"/>
        <w:rPr>
          <w:rFonts w:ascii="Times New Roman" w:hAnsi="Times New Roman"/>
          <w:sz w:val="24"/>
        </w:rPr>
      </w:pPr>
      <w:r w:rsidRPr="00124F23">
        <w:rPr>
          <w:rFonts w:ascii="Times New Roman" w:hAnsi="Times New Roman"/>
          <w:sz w:val="24"/>
        </w:rPr>
        <w:t xml:space="preserve">In order to investigate the possibility of non – stationarity in the dataset, we used Augmented Dickey Fuller test for stationarity, and the </w:t>
      </w:r>
      <w:r w:rsidRPr="00124F23">
        <w:rPr>
          <w:rFonts w:ascii="Times New Roman" w:hAnsi="Times New Roman"/>
          <w:b/>
          <w:sz w:val="24"/>
        </w:rPr>
        <w:t xml:space="preserve">results of the unit root test </w:t>
      </w:r>
      <w:r w:rsidRPr="00124F23">
        <w:rPr>
          <w:rFonts w:ascii="Times New Roman" w:hAnsi="Times New Roman"/>
          <w:color w:val="000000"/>
          <w:kern w:val="24"/>
          <w:sz w:val="24"/>
        </w:rPr>
        <w:t xml:space="preserve">showed </w:t>
      </w:r>
      <w:r w:rsidRPr="00124F23">
        <w:rPr>
          <w:rFonts w:ascii="Times New Roman" w:hAnsi="Times New Roman"/>
          <w:sz w:val="24"/>
        </w:rPr>
        <w:t>non – stationarity</w:t>
      </w:r>
      <w:r w:rsidRPr="00124F23">
        <w:rPr>
          <w:rFonts w:ascii="Times New Roman" w:hAnsi="Times New Roman"/>
          <w:color w:val="000000"/>
          <w:kern w:val="24"/>
          <w:sz w:val="24"/>
        </w:rPr>
        <w:t xml:space="preserve"> in the endogenous variables. </w:t>
      </w:r>
      <w:r w:rsidRPr="00124F23">
        <w:rPr>
          <w:rFonts w:ascii="Times New Roman" w:hAnsi="Times New Roman"/>
          <w:sz w:val="24"/>
        </w:rPr>
        <w:t>To check the validity of the VECM model, we did a few diagnostic tests and found that the residuals of the regressions have normal distribution and do not show any auto – correlation.</w:t>
      </w:r>
    </w:p>
    <w:p w:rsidR="00FE48A6" w:rsidRPr="00124F23" w:rsidRDefault="00FE48A6" w:rsidP="008E5660">
      <w:pPr>
        <w:autoSpaceDE w:val="0"/>
        <w:autoSpaceDN w:val="0"/>
        <w:adjustRightInd w:val="0"/>
        <w:spacing w:after="0"/>
        <w:ind w:left="900"/>
        <w:rPr>
          <w:rFonts w:ascii="Times New Roman" w:hAnsi="Times New Roman"/>
          <w:color w:val="000000"/>
          <w:kern w:val="24"/>
          <w:sz w:val="24"/>
        </w:rPr>
      </w:pPr>
    </w:p>
    <w:p w:rsidR="00FE48A6" w:rsidRPr="00124F23" w:rsidRDefault="00FE48A6" w:rsidP="008E5660">
      <w:pPr>
        <w:autoSpaceDE w:val="0"/>
        <w:autoSpaceDN w:val="0"/>
        <w:adjustRightInd w:val="0"/>
        <w:spacing w:after="0"/>
        <w:ind w:left="900"/>
        <w:rPr>
          <w:rFonts w:ascii="Times New Roman" w:hAnsi="Times New Roman"/>
          <w:color w:val="222222"/>
          <w:sz w:val="24"/>
        </w:rPr>
      </w:pPr>
      <w:r w:rsidRPr="00124F23">
        <w:rPr>
          <w:rFonts w:ascii="Times New Roman" w:hAnsi="Times New Roman"/>
          <w:sz w:val="24"/>
        </w:rPr>
        <w:t xml:space="preserve">Table 1 (Appendix) presents the descriptive statistics of both the </w:t>
      </w:r>
      <w:r w:rsidRPr="00124F23">
        <w:rPr>
          <w:rFonts w:ascii="Times New Roman" w:hAnsi="Times New Roman"/>
          <w:color w:val="000000"/>
          <w:kern w:val="24"/>
          <w:sz w:val="24"/>
        </w:rPr>
        <w:t xml:space="preserve">endogenous and exogenous variables of the model. It demonstrates the mean, median, maximum, minimum, standard deviations as well as skewness and kurtosis values of the 52 observations associated with each of the 7 variables used in the study.  </w:t>
      </w:r>
      <w:r w:rsidRPr="00124F23">
        <w:rPr>
          <w:rFonts w:ascii="Times New Roman" w:hAnsi="Times New Roman"/>
          <w:sz w:val="24"/>
        </w:rPr>
        <w:t>According to the information criterion in the Table 2 (Appendix), especially SC (</w:t>
      </w:r>
      <w:r w:rsidRPr="00124F23">
        <w:rPr>
          <w:rFonts w:ascii="Times New Roman" w:hAnsi="Times New Roman"/>
          <w:color w:val="000000"/>
          <w:sz w:val="24"/>
        </w:rPr>
        <w:t>Schwarz information criterion</w:t>
      </w:r>
      <w:r w:rsidRPr="00124F23">
        <w:rPr>
          <w:rFonts w:ascii="Times New Roman" w:hAnsi="Times New Roman"/>
          <w:sz w:val="24"/>
        </w:rPr>
        <w:t>) and HQ (</w:t>
      </w:r>
      <w:r w:rsidRPr="00124F23">
        <w:rPr>
          <w:rFonts w:ascii="Times New Roman" w:hAnsi="Times New Roman"/>
          <w:color w:val="000000"/>
          <w:sz w:val="24"/>
        </w:rPr>
        <w:t>Hannan-Quinn information criterion)</w:t>
      </w:r>
      <w:r w:rsidRPr="00124F23">
        <w:rPr>
          <w:rFonts w:ascii="Times New Roman" w:hAnsi="Times New Roman"/>
          <w:sz w:val="24"/>
        </w:rPr>
        <w:t xml:space="preserve"> based on unrestricted VAR, </w:t>
      </w:r>
      <w:r w:rsidRPr="00124F23">
        <w:rPr>
          <w:rFonts w:ascii="Times New Roman" w:hAnsi="Times New Roman"/>
          <w:color w:val="222222"/>
          <w:sz w:val="24"/>
        </w:rPr>
        <w:t>the number of lags in the model should be one.</w:t>
      </w:r>
    </w:p>
    <w:p w:rsidR="00FE48A6" w:rsidRPr="00124F23" w:rsidRDefault="00FE48A6" w:rsidP="008E5660">
      <w:pPr>
        <w:spacing w:after="0"/>
        <w:ind w:left="900"/>
        <w:rPr>
          <w:rFonts w:ascii="Times New Roman" w:hAnsi="Times New Roman"/>
          <w:b/>
          <w:sz w:val="24"/>
        </w:rPr>
      </w:pPr>
    </w:p>
    <w:p w:rsidR="00FE48A6" w:rsidRPr="00124F23" w:rsidRDefault="00FE48A6" w:rsidP="008E5660">
      <w:pPr>
        <w:spacing w:after="0"/>
        <w:ind w:left="900"/>
        <w:textAlignment w:val="top"/>
        <w:rPr>
          <w:rFonts w:ascii="Times New Roman" w:hAnsi="Times New Roman"/>
          <w:sz w:val="24"/>
        </w:rPr>
      </w:pPr>
      <w:r w:rsidRPr="00124F23">
        <w:rPr>
          <w:rFonts w:ascii="Times New Roman" w:hAnsi="Times New Roman"/>
          <w:sz w:val="24"/>
        </w:rPr>
        <w:t xml:space="preserve">Table </w:t>
      </w:r>
      <w:r>
        <w:rPr>
          <w:rFonts w:ascii="Times New Roman" w:hAnsi="Times New Roman"/>
          <w:sz w:val="24"/>
        </w:rPr>
        <w:t>2</w:t>
      </w:r>
      <w:r w:rsidRPr="00124F23">
        <w:rPr>
          <w:rFonts w:ascii="Times New Roman" w:hAnsi="Times New Roman"/>
          <w:sz w:val="24"/>
        </w:rPr>
        <w:t xml:space="preserve"> presents the long-run relations and their significance between the FDI indicator and other economic, political and institutional variables.</w:t>
      </w:r>
    </w:p>
    <w:p w:rsidR="00FE48A6" w:rsidRPr="00B200A6" w:rsidRDefault="00FE48A6" w:rsidP="008E5660">
      <w:pPr>
        <w:spacing w:after="0"/>
        <w:ind w:left="900"/>
        <w:jc w:val="left"/>
        <w:textAlignment w:val="top"/>
        <w:rPr>
          <w:rFonts w:ascii="Times New Roman" w:hAnsi="Times New Roman"/>
          <w:sz w:val="22"/>
          <w:szCs w:val="22"/>
        </w:rPr>
      </w:pPr>
    </w:p>
    <w:tbl>
      <w:tblPr>
        <w:tblW w:w="5854" w:type="dxa"/>
        <w:tblInd w:w="2060" w:type="dxa"/>
        <w:tblLayout w:type="fixed"/>
        <w:tblLook w:val="00A0" w:firstRow="1" w:lastRow="0" w:firstColumn="1" w:lastColumn="0" w:noHBand="0" w:noVBand="0"/>
      </w:tblPr>
      <w:tblGrid>
        <w:gridCol w:w="1476"/>
        <w:gridCol w:w="2335"/>
        <w:gridCol w:w="2043"/>
      </w:tblGrid>
      <w:tr w:rsidR="00FE48A6" w:rsidRPr="00124F23" w:rsidTr="00FA7E03">
        <w:trPr>
          <w:trHeight w:val="337"/>
        </w:trPr>
        <w:tc>
          <w:tcPr>
            <w:tcW w:w="1476" w:type="dxa"/>
            <w:tcBorders>
              <w:top w:val="single" w:sz="4" w:space="0" w:color="auto"/>
              <w:left w:val="single" w:sz="4" w:space="0" w:color="auto"/>
              <w:bottom w:val="single" w:sz="4" w:space="0" w:color="auto"/>
              <w:right w:val="single" w:sz="4" w:space="0" w:color="auto"/>
            </w:tcBorders>
            <w:noWrap/>
            <w:vAlign w:val="bottom"/>
          </w:tcPr>
          <w:p w:rsidR="00FE48A6" w:rsidRPr="00124F23" w:rsidRDefault="00FE48A6" w:rsidP="001406C4">
            <w:pPr>
              <w:spacing w:after="0"/>
              <w:rPr>
                <w:rFonts w:ascii="Times New Roman" w:hAnsi="Times New Roman"/>
                <w:sz w:val="24"/>
              </w:rPr>
            </w:pPr>
            <w:r w:rsidRPr="00124F23">
              <w:rPr>
                <w:rFonts w:ascii="Times New Roman" w:hAnsi="Times New Roman"/>
                <w:sz w:val="24"/>
              </w:rPr>
              <w:t>Variable</w:t>
            </w:r>
          </w:p>
        </w:tc>
        <w:tc>
          <w:tcPr>
            <w:tcW w:w="2335" w:type="dxa"/>
            <w:tcBorders>
              <w:top w:val="single" w:sz="4" w:space="0" w:color="auto"/>
              <w:left w:val="nil"/>
              <w:bottom w:val="single" w:sz="4" w:space="0" w:color="auto"/>
              <w:right w:val="single" w:sz="4" w:space="0" w:color="auto"/>
            </w:tcBorders>
            <w:noWrap/>
            <w:vAlign w:val="bottom"/>
          </w:tcPr>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Coefficient</w:t>
            </w:r>
          </w:p>
        </w:tc>
        <w:tc>
          <w:tcPr>
            <w:tcW w:w="2043" w:type="dxa"/>
            <w:tcBorders>
              <w:top w:val="single" w:sz="4" w:space="0" w:color="auto"/>
              <w:left w:val="nil"/>
              <w:bottom w:val="single" w:sz="4" w:space="0" w:color="auto"/>
              <w:right w:val="single" w:sz="4" w:space="0" w:color="auto"/>
            </w:tcBorders>
          </w:tcPr>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t-statistic</w:t>
            </w:r>
          </w:p>
        </w:tc>
      </w:tr>
      <w:tr w:rsidR="00FE48A6" w:rsidRPr="00124F23" w:rsidTr="00FA7E03">
        <w:trPr>
          <w:trHeight w:val="337"/>
        </w:trPr>
        <w:tc>
          <w:tcPr>
            <w:tcW w:w="1476" w:type="dxa"/>
            <w:tcBorders>
              <w:top w:val="single" w:sz="4" w:space="0" w:color="auto"/>
              <w:left w:val="single" w:sz="4" w:space="0" w:color="auto"/>
              <w:bottom w:val="single" w:sz="4" w:space="0" w:color="auto"/>
              <w:right w:val="single" w:sz="4" w:space="0" w:color="auto"/>
            </w:tcBorders>
            <w:noWrap/>
            <w:vAlign w:val="center"/>
          </w:tcPr>
          <w:p w:rsidR="00FE48A6" w:rsidRPr="00124F23" w:rsidRDefault="00FE48A6" w:rsidP="001406C4">
            <w:pPr>
              <w:spacing w:after="0"/>
              <w:rPr>
                <w:rFonts w:ascii="Times New Roman" w:hAnsi="Times New Roman"/>
                <w:sz w:val="24"/>
              </w:rPr>
            </w:pPr>
            <w:r w:rsidRPr="00124F23">
              <w:rPr>
                <w:rFonts w:ascii="Times New Roman" w:hAnsi="Times New Roman"/>
                <w:sz w:val="24"/>
              </w:rPr>
              <w:t>GDPG</w:t>
            </w:r>
          </w:p>
        </w:tc>
        <w:tc>
          <w:tcPr>
            <w:tcW w:w="2335" w:type="dxa"/>
            <w:tcBorders>
              <w:top w:val="single" w:sz="4" w:space="0" w:color="auto"/>
              <w:left w:val="nil"/>
              <w:bottom w:val="single" w:sz="4" w:space="0" w:color="auto"/>
              <w:right w:val="single" w:sz="4" w:space="0" w:color="auto"/>
            </w:tcBorders>
            <w:noWrap/>
            <w:vAlign w:val="center"/>
          </w:tcPr>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1.072193</w:t>
            </w:r>
          </w:p>
        </w:tc>
        <w:tc>
          <w:tcPr>
            <w:tcW w:w="2043" w:type="dxa"/>
            <w:tcBorders>
              <w:top w:val="single" w:sz="4" w:space="0" w:color="auto"/>
              <w:left w:val="nil"/>
              <w:bottom w:val="single" w:sz="4" w:space="0" w:color="auto"/>
              <w:right w:val="single" w:sz="4" w:space="0" w:color="auto"/>
            </w:tcBorders>
          </w:tcPr>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2.49731*</w:t>
            </w:r>
          </w:p>
        </w:tc>
      </w:tr>
      <w:tr w:rsidR="00FE48A6" w:rsidRPr="00124F23" w:rsidTr="00FA7E03">
        <w:trPr>
          <w:trHeight w:val="337"/>
        </w:trPr>
        <w:tc>
          <w:tcPr>
            <w:tcW w:w="1476" w:type="dxa"/>
            <w:tcBorders>
              <w:top w:val="single" w:sz="4" w:space="0" w:color="auto"/>
              <w:left w:val="single" w:sz="4" w:space="0" w:color="auto"/>
              <w:bottom w:val="single" w:sz="4" w:space="0" w:color="auto"/>
              <w:right w:val="single" w:sz="4" w:space="0" w:color="auto"/>
            </w:tcBorders>
            <w:noWrap/>
            <w:vAlign w:val="center"/>
          </w:tcPr>
          <w:p w:rsidR="00FE48A6" w:rsidRPr="00124F23" w:rsidRDefault="00FE48A6" w:rsidP="001406C4">
            <w:pPr>
              <w:spacing w:after="0"/>
              <w:rPr>
                <w:rFonts w:ascii="Times New Roman" w:hAnsi="Times New Roman"/>
                <w:sz w:val="24"/>
              </w:rPr>
            </w:pPr>
            <w:r w:rsidRPr="00124F23">
              <w:rPr>
                <w:rFonts w:ascii="Times New Roman" w:hAnsi="Times New Roman"/>
                <w:sz w:val="24"/>
              </w:rPr>
              <w:t>OPEN</w:t>
            </w:r>
          </w:p>
        </w:tc>
        <w:tc>
          <w:tcPr>
            <w:tcW w:w="2335" w:type="dxa"/>
            <w:tcBorders>
              <w:top w:val="single" w:sz="4" w:space="0" w:color="auto"/>
              <w:left w:val="nil"/>
              <w:bottom w:val="single" w:sz="4" w:space="0" w:color="auto"/>
              <w:right w:val="single" w:sz="4" w:space="0" w:color="auto"/>
            </w:tcBorders>
            <w:noWrap/>
            <w:vAlign w:val="center"/>
          </w:tcPr>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0.967329</w:t>
            </w:r>
          </w:p>
        </w:tc>
        <w:tc>
          <w:tcPr>
            <w:tcW w:w="2043" w:type="dxa"/>
            <w:tcBorders>
              <w:top w:val="single" w:sz="4" w:space="0" w:color="auto"/>
              <w:left w:val="nil"/>
              <w:bottom w:val="single" w:sz="4" w:space="0" w:color="auto"/>
              <w:right w:val="single" w:sz="4" w:space="0" w:color="auto"/>
            </w:tcBorders>
          </w:tcPr>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6.00903*</w:t>
            </w:r>
          </w:p>
        </w:tc>
      </w:tr>
      <w:tr w:rsidR="00FE48A6" w:rsidRPr="00124F23" w:rsidTr="00FA7E03">
        <w:trPr>
          <w:trHeight w:val="337"/>
        </w:trPr>
        <w:tc>
          <w:tcPr>
            <w:tcW w:w="1476" w:type="dxa"/>
            <w:tcBorders>
              <w:top w:val="single" w:sz="4" w:space="0" w:color="auto"/>
              <w:left w:val="single" w:sz="4" w:space="0" w:color="auto"/>
              <w:bottom w:val="single" w:sz="4" w:space="0" w:color="auto"/>
              <w:right w:val="single" w:sz="4" w:space="0" w:color="auto"/>
            </w:tcBorders>
            <w:noWrap/>
            <w:vAlign w:val="center"/>
          </w:tcPr>
          <w:p w:rsidR="00FE48A6" w:rsidRPr="00124F23" w:rsidRDefault="00FE48A6" w:rsidP="001406C4">
            <w:pPr>
              <w:spacing w:after="0"/>
              <w:rPr>
                <w:rFonts w:ascii="Times New Roman" w:hAnsi="Times New Roman"/>
                <w:sz w:val="24"/>
              </w:rPr>
            </w:pPr>
            <w:r w:rsidRPr="00124F23">
              <w:rPr>
                <w:rFonts w:ascii="Times New Roman" w:hAnsi="Times New Roman"/>
                <w:sz w:val="24"/>
              </w:rPr>
              <w:t>LABPRD</w:t>
            </w:r>
          </w:p>
        </w:tc>
        <w:tc>
          <w:tcPr>
            <w:tcW w:w="2335" w:type="dxa"/>
            <w:tcBorders>
              <w:top w:val="single" w:sz="4" w:space="0" w:color="auto"/>
              <w:left w:val="nil"/>
              <w:bottom w:val="single" w:sz="4" w:space="0" w:color="auto"/>
              <w:right w:val="single" w:sz="4" w:space="0" w:color="auto"/>
            </w:tcBorders>
            <w:noWrap/>
            <w:vAlign w:val="center"/>
          </w:tcPr>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0.550584</w:t>
            </w:r>
          </w:p>
        </w:tc>
        <w:tc>
          <w:tcPr>
            <w:tcW w:w="2043" w:type="dxa"/>
            <w:tcBorders>
              <w:top w:val="single" w:sz="4" w:space="0" w:color="auto"/>
              <w:left w:val="nil"/>
              <w:bottom w:val="single" w:sz="4" w:space="0" w:color="auto"/>
              <w:right w:val="single" w:sz="4" w:space="0" w:color="auto"/>
            </w:tcBorders>
          </w:tcPr>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1.97861**</w:t>
            </w:r>
          </w:p>
        </w:tc>
      </w:tr>
      <w:tr w:rsidR="00FE48A6" w:rsidRPr="00124F23" w:rsidTr="00FA7E03">
        <w:trPr>
          <w:trHeight w:val="337"/>
        </w:trPr>
        <w:tc>
          <w:tcPr>
            <w:tcW w:w="1476" w:type="dxa"/>
            <w:tcBorders>
              <w:top w:val="single" w:sz="4" w:space="0" w:color="auto"/>
              <w:left w:val="single" w:sz="4" w:space="0" w:color="auto"/>
              <w:bottom w:val="single" w:sz="4" w:space="0" w:color="auto"/>
              <w:right w:val="single" w:sz="4" w:space="0" w:color="auto"/>
            </w:tcBorders>
            <w:noWrap/>
            <w:vAlign w:val="center"/>
          </w:tcPr>
          <w:p w:rsidR="00FE48A6" w:rsidRPr="00124F23" w:rsidRDefault="00FE48A6" w:rsidP="001406C4">
            <w:pPr>
              <w:spacing w:after="0"/>
              <w:rPr>
                <w:rFonts w:ascii="Times New Roman" w:hAnsi="Times New Roman"/>
                <w:sz w:val="24"/>
              </w:rPr>
            </w:pPr>
            <w:r w:rsidRPr="00124F23">
              <w:rPr>
                <w:rFonts w:ascii="Times New Roman" w:hAnsi="Times New Roman"/>
                <w:sz w:val="24"/>
              </w:rPr>
              <w:t>BP</w:t>
            </w:r>
          </w:p>
        </w:tc>
        <w:tc>
          <w:tcPr>
            <w:tcW w:w="2335" w:type="dxa"/>
            <w:tcBorders>
              <w:top w:val="single" w:sz="4" w:space="0" w:color="auto"/>
              <w:left w:val="nil"/>
              <w:bottom w:val="single" w:sz="4" w:space="0" w:color="auto"/>
              <w:right w:val="single" w:sz="4" w:space="0" w:color="auto"/>
            </w:tcBorders>
            <w:noWrap/>
            <w:vAlign w:val="center"/>
          </w:tcPr>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-0.136292</w:t>
            </w:r>
          </w:p>
        </w:tc>
        <w:tc>
          <w:tcPr>
            <w:tcW w:w="2043" w:type="dxa"/>
            <w:tcBorders>
              <w:top w:val="single" w:sz="4" w:space="0" w:color="auto"/>
              <w:left w:val="nil"/>
              <w:bottom w:val="single" w:sz="4" w:space="0" w:color="auto"/>
              <w:right w:val="single" w:sz="4" w:space="0" w:color="auto"/>
            </w:tcBorders>
          </w:tcPr>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-1.46816***</w:t>
            </w:r>
          </w:p>
        </w:tc>
      </w:tr>
      <w:tr w:rsidR="00FE48A6" w:rsidRPr="00124F23" w:rsidTr="00FA7E03">
        <w:trPr>
          <w:trHeight w:val="337"/>
        </w:trPr>
        <w:tc>
          <w:tcPr>
            <w:tcW w:w="1476" w:type="dxa"/>
            <w:tcBorders>
              <w:top w:val="single" w:sz="4" w:space="0" w:color="auto"/>
              <w:left w:val="single" w:sz="4" w:space="0" w:color="auto"/>
              <w:bottom w:val="single" w:sz="4" w:space="0" w:color="auto"/>
              <w:right w:val="single" w:sz="4" w:space="0" w:color="auto"/>
            </w:tcBorders>
            <w:noWrap/>
            <w:vAlign w:val="center"/>
          </w:tcPr>
          <w:p w:rsidR="00FE48A6" w:rsidRPr="00124F23" w:rsidRDefault="00FE48A6" w:rsidP="001406C4">
            <w:pPr>
              <w:spacing w:after="0"/>
              <w:rPr>
                <w:rFonts w:ascii="Times New Roman" w:hAnsi="Times New Roman"/>
                <w:sz w:val="24"/>
              </w:rPr>
            </w:pPr>
            <w:r w:rsidRPr="00124F23">
              <w:rPr>
                <w:rFonts w:ascii="Times New Roman" w:hAnsi="Times New Roman"/>
                <w:sz w:val="24"/>
              </w:rPr>
              <w:t>POLICY</w:t>
            </w:r>
          </w:p>
        </w:tc>
        <w:tc>
          <w:tcPr>
            <w:tcW w:w="2335" w:type="dxa"/>
            <w:tcBorders>
              <w:top w:val="single" w:sz="4" w:space="0" w:color="auto"/>
              <w:left w:val="nil"/>
              <w:bottom w:val="single" w:sz="4" w:space="0" w:color="auto"/>
              <w:right w:val="single" w:sz="4" w:space="0" w:color="auto"/>
            </w:tcBorders>
            <w:noWrap/>
            <w:vAlign w:val="center"/>
          </w:tcPr>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0.149369</w:t>
            </w:r>
          </w:p>
        </w:tc>
        <w:tc>
          <w:tcPr>
            <w:tcW w:w="2043" w:type="dxa"/>
            <w:tcBorders>
              <w:top w:val="single" w:sz="4" w:space="0" w:color="auto"/>
              <w:left w:val="nil"/>
              <w:bottom w:val="single" w:sz="4" w:space="0" w:color="auto"/>
              <w:right w:val="single" w:sz="4" w:space="0" w:color="auto"/>
            </w:tcBorders>
          </w:tcPr>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0.72078</w:t>
            </w:r>
          </w:p>
        </w:tc>
      </w:tr>
      <w:tr w:rsidR="00FE48A6" w:rsidRPr="00124F23" w:rsidTr="00FA7E03">
        <w:trPr>
          <w:trHeight w:val="337"/>
        </w:trPr>
        <w:tc>
          <w:tcPr>
            <w:tcW w:w="1476" w:type="dxa"/>
            <w:tcBorders>
              <w:top w:val="single" w:sz="4" w:space="0" w:color="auto"/>
              <w:left w:val="single" w:sz="4" w:space="0" w:color="auto"/>
              <w:bottom w:val="single" w:sz="4" w:space="0" w:color="auto"/>
              <w:right w:val="single" w:sz="4" w:space="0" w:color="auto"/>
            </w:tcBorders>
            <w:noWrap/>
            <w:vAlign w:val="center"/>
          </w:tcPr>
          <w:p w:rsidR="00FE48A6" w:rsidRPr="00124F23" w:rsidRDefault="00FE48A6" w:rsidP="001406C4">
            <w:pPr>
              <w:spacing w:after="0"/>
              <w:rPr>
                <w:rFonts w:ascii="Times New Roman" w:hAnsi="Times New Roman"/>
                <w:sz w:val="24"/>
              </w:rPr>
            </w:pPr>
            <w:r w:rsidRPr="00124F23">
              <w:rPr>
                <w:rFonts w:ascii="Times New Roman" w:hAnsi="Times New Roman"/>
                <w:sz w:val="24"/>
              </w:rPr>
              <w:t>INSTITUT</w:t>
            </w:r>
          </w:p>
        </w:tc>
        <w:tc>
          <w:tcPr>
            <w:tcW w:w="2335" w:type="dxa"/>
            <w:tcBorders>
              <w:top w:val="single" w:sz="4" w:space="0" w:color="auto"/>
              <w:left w:val="nil"/>
              <w:bottom w:val="single" w:sz="4" w:space="0" w:color="auto"/>
              <w:right w:val="single" w:sz="4" w:space="0" w:color="auto"/>
            </w:tcBorders>
            <w:noWrap/>
            <w:vAlign w:val="center"/>
          </w:tcPr>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-0,204886</w:t>
            </w:r>
          </w:p>
        </w:tc>
        <w:tc>
          <w:tcPr>
            <w:tcW w:w="2043" w:type="dxa"/>
            <w:tcBorders>
              <w:top w:val="single" w:sz="4" w:space="0" w:color="auto"/>
              <w:left w:val="nil"/>
              <w:bottom w:val="single" w:sz="4" w:space="0" w:color="auto"/>
              <w:right w:val="single" w:sz="4" w:space="0" w:color="auto"/>
            </w:tcBorders>
          </w:tcPr>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-1.05004</w:t>
            </w:r>
          </w:p>
        </w:tc>
      </w:tr>
      <w:tr w:rsidR="00FE48A6" w:rsidRPr="00124F23" w:rsidTr="00FA7E03">
        <w:trPr>
          <w:trHeight w:val="337"/>
        </w:trPr>
        <w:tc>
          <w:tcPr>
            <w:tcW w:w="5854" w:type="dxa"/>
            <w:gridSpan w:val="3"/>
            <w:tcBorders>
              <w:top w:val="single" w:sz="4" w:space="0" w:color="auto"/>
              <w:left w:val="single" w:sz="4" w:space="0" w:color="auto"/>
              <w:bottom w:val="single" w:sz="4" w:space="0" w:color="auto"/>
              <w:right w:val="single" w:sz="4" w:space="0" w:color="auto"/>
            </w:tcBorders>
            <w:noWrap/>
            <w:vAlign w:val="center"/>
          </w:tcPr>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Note:</w:t>
            </w:r>
          </w:p>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 xml:space="preserve"> * means level of significance of 1%,</w:t>
            </w:r>
          </w:p>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 means level of significance of 5%,</w:t>
            </w:r>
          </w:p>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 means level of significance of 10%</w:t>
            </w:r>
          </w:p>
        </w:tc>
      </w:tr>
    </w:tbl>
    <w:p w:rsidR="00FE48A6" w:rsidRPr="00B200A6" w:rsidRDefault="00FE48A6" w:rsidP="008E5660">
      <w:pPr>
        <w:spacing w:after="0"/>
        <w:ind w:left="900"/>
        <w:jc w:val="center"/>
        <w:textAlignment w:val="top"/>
        <w:rPr>
          <w:rFonts w:ascii="Times New Roman" w:hAnsi="Times New Roman"/>
          <w:sz w:val="22"/>
          <w:szCs w:val="22"/>
        </w:rPr>
      </w:pPr>
      <w:r>
        <w:rPr>
          <w:rFonts w:ascii="Times New Roman" w:hAnsi="Times New Roman"/>
          <w:sz w:val="24"/>
        </w:rPr>
        <w:t xml:space="preserve">      </w:t>
      </w:r>
      <w:r>
        <w:rPr>
          <w:rFonts w:ascii="Times New Roman" w:hAnsi="Times New Roman"/>
          <w:sz w:val="22"/>
          <w:szCs w:val="22"/>
        </w:rPr>
        <w:t>Table 2</w:t>
      </w:r>
      <w:r w:rsidRPr="00B200A6">
        <w:rPr>
          <w:rFonts w:ascii="Times New Roman" w:hAnsi="Times New Roman"/>
          <w:sz w:val="22"/>
          <w:szCs w:val="22"/>
        </w:rPr>
        <w:t>: Estimation of the model co-integration equation</w:t>
      </w:r>
    </w:p>
    <w:p w:rsidR="00FE48A6" w:rsidRPr="00124F23" w:rsidRDefault="00FE48A6" w:rsidP="008E5660">
      <w:pPr>
        <w:spacing w:after="0"/>
        <w:ind w:left="900"/>
        <w:rPr>
          <w:rFonts w:ascii="Times New Roman" w:hAnsi="Times New Roman"/>
          <w:sz w:val="24"/>
        </w:rPr>
      </w:pPr>
    </w:p>
    <w:p w:rsidR="00FE48A6" w:rsidRDefault="00FE48A6" w:rsidP="008E5660">
      <w:pPr>
        <w:autoSpaceDE w:val="0"/>
        <w:autoSpaceDN w:val="0"/>
        <w:adjustRightInd w:val="0"/>
        <w:spacing w:after="0"/>
        <w:ind w:left="900"/>
        <w:rPr>
          <w:rFonts w:ascii="Times New Roman" w:hAnsi="Times New Roman"/>
          <w:b/>
          <w:sz w:val="24"/>
        </w:rPr>
      </w:pPr>
      <w:r w:rsidRPr="00124F23">
        <w:rPr>
          <w:rFonts w:ascii="Times New Roman" w:hAnsi="Times New Roman"/>
          <w:sz w:val="24"/>
        </w:rPr>
        <w:t>According to the results obtained, there is a long-run relationship between endogenous (economic) variables and the FDI indicator, with different levels of significance for each variable. The highest level of significance of 1% is found for the long-term relationship between FDI on one side, and economic growth and openness to trade, on another side. The level of significance of the labor productivity long-term parameter is 5%, while the current account balance parameter has the lowest level of significance of 10%. Additionally, there is an insignificant long-term influence of the political and institutional variables on FDI inflows. According to the results obtained, we can conclude that economic factors (primarily the ability to generate higher profits, openness to trade and the cheap skilled labor force) constitute leading factors for investing in Macedonia.</w:t>
      </w:r>
      <w:r w:rsidRPr="008361AE">
        <w:rPr>
          <w:rFonts w:ascii="Times New Roman" w:hAnsi="Times New Roman"/>
          <w:b/>
          <w:sz w:val="24"/>
        </w:rPr>
        <w:t xml:space="preserve"> </w:t>
      </w:r>
    </w:p>
    <w:p w:rsidR="00FE48A6" w:rsidRPr="00124F23" w:rsidRDefault="00FE48A6" w:rsidP="008E5660">
      <w:pPr>
        <w:autoSpaceDE w:val="0"/>
        <w:autoSpaceDN w:val="0"/>
        <w:adjustRightInd w:val="0"/>
        <w:spacing w:after="0"/>
        <w:ind w:left="900"/>
        <w:rPr>
          <w:rFonts w:ascii="Times New Roman" w:hAnsi="Times New Roman"/>
          <w:b/>
          <w:sz w:val="24"/>
        </w:rP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3"/>
        <w:gridCol w:w="976"/>
        <w:gridCol w:w="975"/>
        <w:gridCol w:w="1116"/>
        <w:gridCol w:w="975"/>
        <w:gridCol w:w="1044"/>
        <w:gridCol w:w="1168"/>
        <w:gridCol w:w="2043"/>
      </w:tblGrid>
      <w:tr w:rsidR="006861CA" w:rsidRPr="00124F23" w:rsidTr="006861CA">
        <w:trPr>
          <w:trHeight w:val="300"/>
        </w:trPr>
        <w:tc>
          <w:tcPr>
            <w:tcW w:w="1389" w:type="dxa"/>
            <w:noWrap/>
            <w:vAlign w:val="bottom"/>
          </w:tcPr>
          <w:p w:rsidR="00FE48A6" w:rsidRPr="00124F23" w:rsidRDefault="00FE48A6" w:rsidP="008E5660">
            <w:pPr>
              <w:spacing w:after="0"/>
              <w:ind w:left="900"/>
              <w:rPr>
                <w:rFonts w:ascii="Times New Roman" w:hAnsi="Times New Roman"/>
                <w:color w:val="000000"/>
                <w:sz w:val="24"/>
              </w:rPr>
            </w:pPr>
          </w:p>
        </w:tc>
        <w:tc>
          <w:tcPr>
            <w:tcW w:w="976"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FDI</w:t>
            </w:r>
          </w:p>
        </w:tc>
        <w:tc>
          <w:tcPr>
            <w:tcW w:w="975"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GDPG</w:t>
            </w:r>
          </w:p>
        </w:tc>
        <w:tc>
          <w:tcPr>
            <w:tcW w:w="104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BP</w:t>
            </w:r>
          </w:p>
        </w:tc>
        <w:tc>
          <w:tcPr>
            <w:tcW w:w="975" w:type="dxa"/>
            <w:noWrap/>
            <w:vAlign w:val="bottom"/>
          </w:tcPr>
          <w:p w:rsidR="001406C4" w:rsidRDefault="00FE48A6" w:rsidP="001406C4">
            <w:pPr>
              <w:spacing w:after="0"/>
              <w:rPr>
                <w:rFonts w:ascii="Times New Roman" w:hAnsi="Times New Roman"/>
                <w:color w:val="000000"/>
                <w:sz w:val="24"/>
              </w:rPr>
            </w:pPr>
            <w:r w:rsidRPr="00124F23">
              <w:rPr>
                <w:rFonts w:ascii="Times New Roman" w:hAnsi="Times New Roman"/>
                <w:color w:val="000000"/>
                <w:sz w:val="24"/>
              </w:rPr>
              <w:t>LAB</w:t>
            </w:r>
          </w:p>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PRD</w:t>
            </w:r>
          </w:p>
        </w:tc>
        <w:tc>
          <w:tcPr>
            <w:tcW w:w="1044"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OPEN</w:t>
            </w:r>
          </w:p>
        </w:tc>
        <w:tc>
          <w:tcPr>
            <w:tcW w:w="1168"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POLICY</w:t>
            </w:r>
          </w:p>
        </w:tc>
        <w:tc>
          <w:tcPr>
            <w:tcW w:w="197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INSTITUTIONAL</w:t>
            </w:r>
          </w:p>
        </w:tc>
      </w:tr>
      <w:tr w:rsidR="006861CA" w:rsidRPr="00124F23" w:rsidTr="006861CA">
        <w:trPr>
          <w:trHeight w:val="300"/>
        </w:trPr>
        <w:tc>
          <w:tcPr>
            <w:tcW w:w="138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Mean</w:t>
            </w:r>
          </w:p>
        </w:tc>
        <w:tc>
          <w:tcPr>
            <w:tcW w:w="976"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3.8</w:t>
            </w:r>
          </w:p>
        </w:tc>
        <w:tc>
          <w:tcPr>
            <w:tcW w:w="975"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3.4</w:t>
            </w:r>
          </w:p>
        </w:tc>
        <w:tc>
          <w:tcPr>
            <w:tcW w:w="1049" w:type="dxa"/>
            <w:noWrap/>
            <w:vAlign w:val="bottom"/>
          </w:tcPr>
          <w:p w:rsidR="001406C4" w:rsidRDefault="001406C4" w:rsidP="001406C4">
            <w:pPr>
              <w:spacing w:after="0"/>
              <w:ind w:left="900"/>
              <w:jc w:val="center"/>
              <w:rPr>
                <w:rFonts w:ascii="Times New Roman" w:hAnsi="Times New Roman"/>
                <w:color w:val="000000"/>
                <w:sz w:val="24"/>
              </w:rPr>
            </w:pPr>
          </w:p>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-4.1</w:t>
            </w:r>
          </w:p>
        </w:tc>
        <w:tc>
          <w:tcPr>
            <w:tcW w:w="975"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1.7</w:t>
            </w:r>
          </w:p>
        </w:tc>
        <w:tc>
          <w:tcPr>
            <w:tcW w:w="1044"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98.3</w:t>
            </w:r>
          </w:p>
        </w:tc>
        <w:tc>
          <w:tcPr>
            <w:tcW w:w="1168"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47.1</w:t>
            </w:r>
          </w:p>
        </w:tc>
        <w:tc>
          <w:tcPr>
            <w:tcW w:w="197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47.6</w:t>
            </w:r>
          </w:p>
        </w:tc>
      </w:tr>
      <w:tr w:rsidR="006861CA" w:rsidRPr="00124F23" w:rsidTr="006861CA">
        <w:trPr>
          <w:trHeight w:val="300"/>
        </w:trPr>
        <w:tc>
          <w:tcPr>
            <w:tcW w:w="138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Median</w:t>
            </w:r>
          </w:p>
        </w:tc>
        <w:tc>
          <w:tcPr>
            <w:tcW w:w="976"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2.6</w:t>
            </w:r>
          </w:p>
        </w:tc>
        <w:tc>
          <w:tcPr>
            <w:tcW w:w="975"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3.4</w:t>
            </w:r>
          </w:p>
        </w:tc>
        <w:tc>
          <w:tcPr>
            <w:tcW w:w="104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-3.8</w:t>
            </w:r>
          </w:p>
        </w:tc>
        <w:tc>
          <w:tcPr>
            <w:tcW w:w="975"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0.5</w:t>
            </w:r>
          </w:p>
        </w:tc>
        <w:tc>
          <w:tcPr>
            <w:tcW w:w="1044"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103.6</w:t>
            </w:r>
          </w:p>
        </w:tc>
        <w:tc>
          <w:tcPr>
            <w:tcW w:w="1168"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46.8</w:t>
            </w:r>
          </w:p>
        </w:tc>
        <w:tc>
          <w:tcPr>
            <w:tcW w:w="197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51.7</w:t>
            </w:r>
          </w:p>
        </w:tc>
      </w:tr>
      <w:tr w:rsidR="006861CA" w:rsidRPr="00124F23" w:rsidTr="006861CA">
        <w:trPr>
          <w:trHeight w:val="300"/>
        </w:trPr>
        <w:tc>
          <w:tcPr>
            <w:tcW w:w="138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Max</w:t>
            </w:r>
          </w:p>
        </w:tc>
        <w:tc>
          <w:tcPr>
            <w:tcW w:w="976"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21.4</w:t>
            </w:r>
          </w:p>
        </w:tc>
        <w:tc>
          <w:tcPr>
            <w:tcW w:w="975"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10.7</w:t>
            </w:r>
          </w:p>
        </w:tc>
        <w:tc>
          <w:tcPr>
            <w:tcW w:w="104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7.2</w:t>
            </w:r>
          </w:p>
        </w:tc>
        <w:tc>
          <w:tcPr>
            <w:tcW w:w="975"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12.6</w:t>
            </w:r>
          </w:p>
        </w:tc>
        <w:tc>
          <w:tcPr>
            <w:tcW w:w="1044"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120.0</w:t>
            </w:r>
          </w:p>
        </w:tc>
        <w:tc>
          <w:tcPr>
            <w:tcW w:w="1168"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61.0</w:t>
            </w:r>
          </w:p>
        </w:tc>
        <w:tc>
          <w:tcPr>
            <w:tcW w:w="197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57.9</w:t>
            </w:r>
          </w:p>
        </w:tc>
      </w:tr>
      <w:tr w:rsidR="006861CA" w:rsidRPr="00124F23" w:rsidTr="006861CA">
        <w:trPr>
          <w:trHeight w:val="300"/>
        </w:trPr>
        <w:tc>
          <w:tcPr>
            <w:tcW w:w="138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Min</w:t>
            </w:r>
          </w:p>
        </w:tc>
        <w:tc>
          <w:tcPr>
            <w:tcW w:w="976"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-1.1</w:t>
            </w:r>
          </w:p>
        </w:tc>
        <w:tc>
          <w:tcPr>
            <w:tcW w:w="975"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-3.7</w:t>
            </w:r>
          </w:p>
        </w:tc>
        <w:tc>
          <w:tcPr>
            <w:tcW w:w="104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-21.1</w:t>
            </w:r>
          </w:p>
        </w:tc>
        <w:tc>
          <w:tcPr>
            <w:tcW w:w="975"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-10.5</w:t>
            </w:r>
          </w:p>
        </w:tc>
        <w:tc>
          <w:tcPr>
            <w:tcW w:w="1044"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67.5</w:t>
            </w:r>
          </w:p>
        </w:tc>
        <w:tc>
          <w:tcPr>
            <w:tcW w:w="1168"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36.5</w:t>
            </w:r>
          </w:p>
        </w:tc>
        <w:tc>
          <w:tcPr>
            <w:tcW w:w="1979"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32.4</w:t>
            </w:r>
          </w:p>
        </w:tc>
      </w:tr>
      <w:tr w:rsidR="006861CA" w:rsidRPr="00124F23" w:rsidTr="006861CA">
        <w:trPr>
          <w:trHeight w:val="300"/>
        </w:trPr>
        <w:tc>
          <w:tcPr>
            <w:tcW w:w="138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Std. Dev.</w:t>
            </w:r>
          </w:p>
        </w:tc>
        <w:tc>
          <w:tcPr>
            <w:tcW w:w="976"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3.7</w:t>
            </w:r>
          </w:p>
        </w:tc>
        <w:tc>
          <w:tcPr>
            <w:tcW w:w="975"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3.7</w:t>
            </w:r>
          </w:p>
        </w:tc>
        <w:tc>
          <w:tcPr>
            <w:tcW w:w="104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6.4</w:t>
            </w:r>
          </w:p>
        </w:tc>
        <w:tc>
          <w:tcPr>
            <w:tcW w:w="975"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5.1</w:t>
            </w:r>
          </w:p>
        </w:tc>
        <w:tc>
          <w:tcPr>
            <w:tcW w:w="1044"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15.1</w:t>
            </w:r>
          </w:p>
        </w:tc>
        <w:tc>
          <w:tcPr>
            <w:tcW w:w="1168"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6.4</w:t>
            </w:r>
          </w:p>
        </w:tc>
        <w:tc>
          <w:tcPr>
            <w:tcW w:w="197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7.4</w:t>
            </w:r>
          </w:p>
        </w:tc>
      </w:tr>
      <w:tr w:rsidR="006861CA" w:rsidRPr="00124F23" w:rsidTr="006861CA">
        <w:trPr>
          <w:trHeight w:val="300"/>
        </w:trPr>
        <w:tc>
          <w:tcPr>
            <w:tcW w:w="138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Skewness</w:t>
            </w:r>
          </w:p>
        </w:tc>
        <w:tc>
          <w:tcPr>
            <w:tcW w:w="976"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2.3</w:t>
            </w:r>
          </w:p>
        </w:tc>
        <w:tc>
          <w:tcPr>
            <w:tcW w:w="975"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0.2</w:t>
            </w:r>
          </w:p>
        </w:tc>
        <w:tc>
          <w:tcPr>
            <w:tcW w:w="1049"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-0.7</w:t>
            </w:r>
          </w:p>
        </w:tc>
        <w:tc>
          <w:tcPr>
            <w:tcW w:w="975"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0.2</w:t>
            </w:r>
          </w:p>
        </w:tc>
        <w:tc>
          <w:tcPr>
            <w:tcW w:w="1044"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-0.4</w:t>
            </w:r>
          </w:p>
        </w:tc>
        <w:tc>
          <w:tcPr>
            <w:tcW w:w="1168"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0.2</w:t>
            </w:r>
          </w:p>
        </w:tc>
        <w:tc>
          <w:tcPr>
            <w:tcW w:w="1979"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-0.6</w:t>
            </w:r>
          </w:p>
        </w:tc>
      </w:tr>
      <w:tr w:rsidR="006861CA" w:rsidRPr="00124F23" w:rsidTr="006861CA">
        <w:trPr>
          <w:trHeight w:val="300"/>
        </w:trPr>
        <w:tc>
          <w:tcPr>
            <w:tcW w:w="138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Kurtosis</w:t>
            </w:r>
          </w:p>
        </w:tc>
        <w:tc>
          <w:tcPr>
            <w:tcW w:w="976"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11.0</w:t>
            </w:r>
          </w:p>
        </w:tc>
        <w:tc>
          <w:tcPr>
            <w:tcW w:w="975"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2.2</w:t>
            </w:r>
          </w:p>
        </w:tc>
        <w:tc>
          <w:tcPr>
            <w:tcW w:w="1049"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3.6</w:t>
            </w:r>
          </w:p>
        </w:tc>
        <w:tc>
          <w:tcPr>
            <w:tcW w:w="975"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2.9</w:t>
            </w:r>
          </w:p>
        </w:tc>
        <w:tc>
          <w:tcPr>
            <w:tcW w:w="1044"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2.0</w:t>
            </w:r>
          </w:p>
        </w:tc>
        <w:tc>
          <w:tcPr>
            <w:tcW w:w="1168"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3.0</w:t>
            </w:r>
          </w:p>
        </w:tc>
        <w:tc>
          <w:tcPr>
            <w:tcW w:w="1979"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2.2</w:t>
            </w:r>
          </w:p>
        </w:tc>
      </w:tr>
      <w:tr w:rsidR="006861CA" w:rsidRPr="00124F23" w:rsidTr="006861CA">
        <w:trPr>
          <w:trHeight w:val="215"/>
        </w:trPr>
        <w:tc>
          <w:tcPr>
            <w:tcW w:w="1389" w:type="dxa"/>
            <w:noWrap/>
            <w:vAlign w:val="bottom"/>
          </w:tcPr>
          <w:p w:rsidR="00FE48A6" w:rsidRPr="00124F23" w:rsidRDefault="00FE48A6" w:rsidP="001406C4">
            <w:pPr>
              <w:spacing w:after="0"/>
              <w:rPr>
                <w:rFonts w:ascii="Times New Roman" w:hAnsi="Times New Roman"/>
                <w:color w:val="000000"/>
                <w:sz w:val="24"/>
              </w:rPr>
            </w:pPr>
            <w:r w:rsidRPr="00124F23">
              <w:rPr>
                <w:rFonts w:ascii="Times New Roman" w:hAnsi="Times New Roman"/>
                <w:color w:val="000000"/>
                <w:sz w:val="24"/>
              </w:rPr>
              <w:t>Observations</w:t>
            </w:r>
          </w:p>
        </w:tc>
        <w:tc>
          <w:tcPr>
            <w:tcW w:w="976"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52</w:t>
            </w:r>
          </w:p>
        </w:tc>
        <w:tc>
          <w:tcPr>
            <w:tcW w:w="975"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52</w:t>
            </w:r>
          </w:p>
        </w:tc>
        <w:tc>
          <w:tcPr>
            <w:tcW w:w="1049"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52</w:t>
            </w:r>
          </w:p>
        </w:tc>
        <w:tc>
          <w:tcPr>
            <w:tcW w:w="975"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52</w:t>
            </w:r>
          </w:p>
        </w:tc>
        <w:tc>
          <w:tcPr>
            <w:tcW w:w="1044"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52</w:t>
            </w:r>
          </w:p>
        </w:tc>
        <w:tc>
          <w:tcPr>
            <w:tcW w:w="1168"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52</w:t>
            </w:r>
          </w:p>
        </w:tc>
        <w:tc>
          <w:tcPr>
            <w:tcW w:w="1979" w:type="dxa"/>
            <w:noWrap/>
            <w:vAlign w:val="bottom"/>
          </w:tcPr>
          <w:p w:rsidR="00FE48A6" w:rsidRPr="00124F23" w:rsidRDefault="00FE48A6" w:rsidP="006861CA">
            <w:pPr>
              <w:spacing w:after="0"/>
              <w:rPr>
                <w:rFonts w:ascii="Times New Roman" w:hAnsi="Times New Roman"/>
                <w:color w:val="000000"/>
                <w:sz w:val="24"/>
              </w:rPr>
            </w:pPr>
            <w:r w:rsidRPr="00124F23">
              <w:rPr>
                <w:rFonts w:ascii="Times New Roman" w:hAnsi="Times New Roman"/>
                <w:color w:val="000000"/>
                <w:sz w:val="24"/>
              </w:rPr>
              <w:t>52</w:t>
            </w:r>
          </w:p>
        </w:tc>
      </w:tr>
    </w:tbl>
    <w:p w:rsidR="00FE48A6" w:rsidRPr="00FD1ACB" w:rsidRDefault="00FE48A6" w:rsidP="008E5660">
      <w:pPr>
        <w:autoSpaceDE w:val="0"/>
        <w:autoSpaceDN w:val="0"/>
        <w:adjustRightInd w:val="0"/>
        <w:spacing w:after="0" w:line="480" w:lineRule="auto"/>
        <w:ind w:left="900"/>
        <w:jc w:val="center"/>
        <w:rPr>
          <w:rFonts w:ascii="Times New Roman" w:hAnsi="Times New Roman"/>
          <w:sz w:val="24"/>
        </w:rPr>
      </w:pPr>
      <w:r w:rsidRPr="008361AE">
        <w:rPr>
          <w:rFonts w:ascii="Times New Roman" w:hAnsi="Times New Roman"/>
          <w:sz w:val="24"/>
        </w:rPr>
        <w:t>Table 3</w:t>
      </w:r>
      <w:r>
        <w:rPr>
          <w:rFonts w:ascii="Times New Roman" w:hAnsi="Times New Roman"/>
          <w:sz w:val="24"/>
        </w:rPr>
        <w:t>:</w:t>
      </w:r>
      <w:r w:rsidRPr="008361AE">
        <w:rPr>
          <w:rFonts w:ascii="Times New Roman" w:hAnsi="Times New Roman"/>
          <w:sz w:val="24"/>
        </w:rPr>
        <w:t xml:space="preserve"> Descriptive statistics parameters</w:t>
      </w:r>
    </w:p>
    <w:tbl>
      <w:tblPr>
        <w:tblW w:w="0" w:type="auto"/>
        <w:tblInd w:w="301" w:type="dxa"/>
        <w:tblLayout w:type="fixed"/>
        <w:tblCellMar>
          <w:left w:w="0" w:type="dxa"/>
          <w:right w:w="0" w:type="dxa"/>
        </w:tblCellMar>
        <w:tblLook w:val="0000" w:firstRow="0" w:lastRow="0" w:firstColumn="0" w:lastColumn="0" w:noHBand="0" w:noVBand="0"/>
      </w:tblPr>
      <w:tblGrid>
        <w:gridCol w:w="892"/>
        <w:gridCol w:w="1313"/>
        <w:gridCol w:w="1312"/>
        <w:gridCol w:w="1313"/>
        <w:gridCol w:w="1312"/>
        <w:gridCol w:w="1313"/>
        <w:gridCol w:w="1312"/>
      </w:tblGrid>
      <w:tr w:rsidR="00FE48A6" w:rsidRPr="00124F23" w:rsidTr="006861CA">
        <w:trPr>
          <w:trHeight w:val="225"/>
        </w:trPr>
        <w:tc>
          <w:tcPr>
            <w:tcW w:w="3517" w:type="dxa"/>
            <w:gridSpan w:val="3"/>
            <w:tcBorders>
              <w:top w:val="nil"/>
              <w:left w:val="nil"/>
              <w:bottom w:val="nil"/>
              <w:right w:val="nil"/>
            </w:tcBorders>
            <w:vAlign w:val="bottom"/>
          </w:tcPr>
          <w:p w:rsidR="00FE48A6" w:rsidRPr="00FD1ACB" w:rsidRDefault="00FE48A6" w:rsidP="008E5660">
            <w:pPr>
              <w:autoSpaceDE w:val="0"/>
              <w:autoSpaceDN w:val="0"/>
              <w:adjustRightInd w:val="0"/>
              <w:spacing w:after="0"/>
              <w:ind w:left="900"/>
              <w:jc w:val="left"/>
              <w:rPr>
                <w:rFonts w:ascii="Times New Roman" w:hAnsi="Times New Roman"/>
                <w:color w:val="000000"/>
                <w:szCs w:val="20"/>
              </w:rPr>
            </w:pPr>
            <w:r w:rsidRPr="00FD1ACB">
              <w:rPr>
                <w:rFonts w:ascii="Times New Roman" w:hAnsi="Times New Roman"/>
                <w:color w:val="000000"/>
                <w:szCs w:val="20"/>
              </w:rPr>
              <w:t>VAR Lag Order Selection Criteria</w:t>
            </w: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r>
      <w:tr w:rsidR="00FE48A6" w:rsidRPr="00124F23" w:rsidTr="006861CA">
        <w:trPr>
          <w:trHeight w:val="225"/>
        </w:trPr>
        <w:tc>
          <w:tcPr>
            <w:tcW w:w="4830" w:type="dxa"/>
            <w:gridSpan w:val="4"/>
            <w:tcBorders>
              <w:top w:val="nil"/>
              <w:left w:val="nil"/>
              <w:bottom w:val="nil"/>
              <w:right w:val="nil"/>
            </w:tcBorders>
            <w:vAlign w:val="bottom"/>
          </w:tcPr>
          <w:p w:rsidR="00FE48A6" w:rsidRPr="00FD1ACB" w:rsidRDefault="00FE48A6" w:rsidP="008E5660">
            <w:pPr>
              <w:autoSpaceDE w:val="0"/>
              <w:autoSpaceDN w:val="0"/>
              <w:adjustRightInd w:val="0"/>
              <w:spacing w:after="0"/>
              <w:ind w:left="900"/>
              <w:jc w:val="left"/>
              <w:rPr>
                <w:rFonts w:ascii="Times New Roman" w:hAnsi="Times New Roman"/>
                <w:color w:val="000000"/>
                <w:szCs w:val="20"/>
              </w:rPr>
            </w:pPr>
            <w:r w:rsidRPr="00FD1ACB">
              <w:rPr>
                <w:rFonts w:ascii="Times New Roman" w:hAnsi="Times New Roman"/>
                <w:color w:val="000000"/>
                <w:szCs w:val="20"/>
              </w:rPr>
              <w:t>Endogenous variables: FDI GDPG BP LABPRD OPEN</w:t>
            </w: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r>
      <w:tr w:rsidR="00FE48A6" w:rsidRPr="0036554B" w:rsidTr="006861CA">
        <w:trPr>
          <w:trHeight w:val="225"/>
        </w:trPr>
        <w:tc>
          <w:tcPr>
            <w:tcW w:w="4830" w:type="dxa"/>
            <w:gridSpan w:val="4"/>
            <w:tcBorders>
              <w:top w:val="nil"/>
              <w:left w:val="nil"/>
              <w:bottom w:val="nil"/>
              <w:right w:val="nil"/>
            </w:tcBorders>
            <w:vAlign w:val="bottom"/>
          </w:tcPr>
          <w:p w:rsidR="00FE48A6" w:rsidRPr="0036554B" w:rsidRDefault="00FE48A6" w:rsidP="008E5660">
            <w:pPr>
              <w:autoSpaceDE w:val="0"/>
              <w:autoSpaceDN w:val="0"/>
              <w:adjustRightInd w:val="0"/>
              <w:spacing w:after="0"/>
              <w:ind w:left="900"/>
              <w:jc w:val="left"/>
              <w:rPr>
                <w:rFonts w:ascii="Times New Roman" w:hAnsi="Times New Roman"/>
                <w:color w:val="000000"/>
                <w:szCs w:val="20"/>
                <w:lang w:val="fr-FR"/>
              </w:rPr>
            </w:pPr>
            <w:r w:rsidRPr="0036554B">
              <w:rPr>
                <w:rFonts w:ascii="Times New Roman" w:hAnsi="Times New Roman"/>
                <w:color w:val="000000"/>
                <w:szCs w:val="20"/>
                <w:lang w:val="fr-FR"/>
              </w:rPr>
              <w:t>Exogenous variables: C POLICY INSTITUTIONAL </w:t>
            </w:r>
          </w:p>
        </w:tc>
        <w:tc>
          <w:tcPr>
            <w:tcW w:w="1312" w:type="dxa"/>
            <w:tcBorders>
              <w:top w:val="nil"/>
              <w:left w:val="nil"/>
              <w:bottom w:val="nil"/>
              <w:right w:val="nil"/>
            </w:tcBorders>
            <w:vAlign w:val="bottom"/>
          </w:tcPr>
          <w:p w:rsidR="00FE48A6" w:rsidRPr="0036554B" w:rsidRDefault="00FE48A6" w:rsidP="008E5660">
            <w:pPr>
              <w:autoSpaceDE w:val="0"/>
              <w:autoSpaceDN w:val="0"/>
              <w:adjustRightInd w:val="0"/>
              <w:spacing w:after="0" w:line="480" w:lineRule="auto"/>
              <w:ind w:left="900"/>
              <w:rPr>
                <w:rFonts w:ascii="Times New Roman" w:hAnsi="Times New Roman"/>
                <w:color w:val="000000"/>
                <w:sz w:val="24"/>
                <w:lang w:val="fr-FR"/>
              </w:rPr>
            </w:pPr>
          </w:p>
        </w:tc>
        <w:tc>
          <w:tcPr>
            <w:tcW w:w="1313" w:type="dxa"/>
            <w:tcBorders>
              <w:top w:val="nil"/>
              <w:left w:val="nil"/>
              <w:bottom w:val="nil"/>
              <w:right w:val="nil"/>
            </w:tcBorders>
            <w:vAlign w:val="bottom"/>
          </w:tcPr>
          <w:p w:rsidR="00FE48A6" w:rsidRPr="0036554B" w:rsidRDefault="00FE48A6" w:rsidP="008E5660">
            <w:pPr>
              <w:autoSpaceDE w:val="0"/>
              <w:autoSpaceDN w:val="0"/>
              <w:adjustRightInd w:val="0"/>
              <w:spacing w:after="0" w:line="480" w:lineRule="auto"/>
              <w:ind w:left="900"/>
              <w:rPr>
                <w:rFonts w:ascii="Times New Roman" w:hAnsi="Times New Roman"/>
                <w:color w:val="000000"/>
                <w:sz w:val="24"/>
                <w:lang w:val="fr-FR"/>
              </w:rPr>
            </w:pPr>
          </w:p>
        </w:tc>
        <w:tc>
          <w:tcPr>
            <w:tcW w:w="1312" w:type="dxa"/>
            <w:tcBorders>
              <w:top w:val="nil"/>
              <w:left w:val="nil"/>
              <w:bottom w:val="nil"/>
              <w:right w:val="nil"/>
            </w:tcBorders>
            <w:vAlign w:val="bottom"/>
          </w:tcPr>
          <w:p w:rsidR="00FE48A6" w:rsidRPr="0036554B" w:rsidRDefault="00FE48A6" w:rsidP="008E5660">
            <w:pPr>
              <w:autoSpaceDE w:val="0"/>
              <w:autoSpaceDN w:val="0"/>
              <w:adjustRightInd w:val="0"/>
              <w:spacing w:after="0" w:line="480" w:lineRule="auto"/>
              <w:ind w:left="900"/>
              <w:rPr>
                <w:rFonts w:ascii="Times New Roman" w:hAnsi="Times New Roman"/>
                <w:color w:val="000000"/>
                <w:sz w:val="24"/>
                <w:lang w:val="fr-FR"/>
              </w:rPr>
            </w:pPr>
          </w:p>
        </w:tc>
      </w:tr>
      <w:tr w:rsidR="00FE48A6" w:rsidRPr="00124F23" w:rsidTr="006861CA">
        <w:trPr>
          <w:trHeight w:val="225"/>
        </w:trPr>
        <w:tc>
          <w:tcPr>
            <w:tcW w:w="3517" w:type="dxa"/>
            <w:gridSpan w:val="3"/>
            <w:tcBorders>
              <w:top w:val="nil"/>
              <w:left w:val="nil"/>
              <w:bottom w:val="nil"/>
              <w:right w:val="nil"/>
            </w:tcBorders>
            <w:vAlign w:val="bottom"/>
          </w:tcPr>
          <w:p w:rsidR="00FE48A6" w:rsidRPr="00FD1ACB" w:rsidRDefault="00FE48A6" w:rsidP="008E5660">
            <w:pPr>
              <w:autoSpaceDE w:val="0"/>
              <w:autoSpaceDN w:val="0"/>
              <w:adjustRightInd w:val="0"/>
              <w:spacing w:after="0"/>
              <w:ind w:left="900"/>
              <w:jc w:val="left"/>
              <w:rPr>
                <w:rFonts w:ascii="Times New Roman" w:hAnsi="Times New Roman"/>
                <w:color w:val="000000"/>
                <w:szCs w:val="20"/>
              </w:rPr>
            </w:pPr>
            <w:r w:rsidRPr="00FD1ACB">
              <w:rPr>
                <w:rFonts w:ascii="Times New Roman" w:hAnsi="Times New Roman"/>
                <w:color w:val="000000"/>
                <w:szCs w:val="20"/>
              </w:rPr>
              <w:t>Sample: 2003Q1 2015Q4</w:t>
            </w: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r>
      <w:tr w:rsidR="00FE48A6" w:rsidRPr="00124F23" w:rsidTr="006861CA">
        <w:trPr>
          <w:trHeight w:val="225"/>
        </w:trPr>
        <w:tc>
          <w:tcPr>
            <w:tcW w:w="3517" w:type="dxa"/>
            <w:gridSpan w:val="3"/>
            <w:tcBorders>
              <w:top w:val="nil"/>
              <w:left w:val="nil"/>
              <w:bottom w:val="nil"/>
              <w:right w:val="nil"/>
            </w:tcBorders>
            <w:vAlign w:val="bottom"/>
          </w:tcPr>
          <w:p w:rsidR="00FE48A6" w:rsidRPr="00FD1ACB" w:rsidRDefault="00FE48A6" w:rsidP="008E5660">
            <w:pPr>
              <w:autoSpaceDE w:val="0"/>
              <w:autoSpaceDN w:val="0"/>
              <w:adjustRightInd w:val="0"/>
              <w:spacing w:after="0"/>
              <w:ind w:left="900"/>
              <w:rPr>
                <w:rFonts w:ascii="Times New Roman" w:hAnsi="Times New Roman"/>
                <w:color w:val="000000"/>
                <w:szCs w:val="20"/>
              </w:rPr>
            </w:pPr>
            <w:r w:rsidRPr="00FD1ACB">
              <w:rPr>
                <w:rFonts w:ascii="Times New Roman" w:hAnsi="Times New Roman"/>
                <w:color w:val="000000"/>
                <w:szCs w:val="20"/>
              </w:rPr>
              <w:t>Included observations: 48</w:t>
            </w: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r>
      <w:tr w:rsidR="00FE48A6" w:rsidRPr="00124F23" w:rsidTr="006861CA">
        <w:trPr>
          <w:trHeight w:hRule="exact" w:val="90"/>
        </w:trPr>
        <w:tc>
          <w:tcPr>
            <w:tcW w:w="892"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r>
      <w:tr w:rsidR="00FE48A6" w:rsidRPr="00124F23" w:rsidTr="006861CA">
        <w:trPr>
          <w:trHeight w:hRule="exact" w:val="135"/>
        </w:trPr>
        <w:tc>
          <w:tcPr>
            <w:tcW w:w="89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r>
      <w:tr w:rsidR="00FE48A6" w:rsidRPr="00124F23" w:rsidTr="006861CA">
        <w:trPr>
          <w:trHeight w:val="225"/>
        </w:trPr>
        <w:tc>
          <w:tcPr>
            <w:tcW w:w="892" w:type="dxa"/>
            <w:tcBorders>
              <w:top w:val="nil"/>
              <w:left w:val="nil"/>
              <w:bottom w:val="nil"/>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r w:rsidRPr="00124F23">
              <w:rPr>
                <w:rFonts w:ascii="Times New Roman" w:hAnsi="Times New Roman"/>
                <w:color w:val="000000"/>
                <w:sz w:val="24"/>
              </w:rPr>
              <w:t> Lag</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LogL</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LR</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FPE</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AIC</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SC</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HQ</w:t>
            </w:r>
          </w:p>
        </w:tc>
      </w:tr>
      <w:tr w:rsidR="00FE48A6" w:rsidRPr="00124F23" w:rsidTr="006861CA">
        <w:trPr>
          <w:trHeight w:hRule="exact" w:val="90"/>
        </w:trPr>
        <w:tc>
          <w:tcPr>
            <w:tcW w:w="892"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p>
        </w:tc>
        <w:tc>
          <w:tcPr>
            <w:tcW w:w="1313"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p>
        </w:tc>
        <w:tc>
          <w:tcPr>
            <w:tcW w:w="1312"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p>
        </w:tc>
        <w:tc>
          <w:tcPr>
            <w:tcW w:w="1313"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p>
        </w:tc>
        <w:tc>
          <w:tcPr>
            <w:tcW w:w="1312"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p>
        </w:tc>
        <w:tc>
          <w:tcPr>
            <w:tcW w:w="1313"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p>
        </w:tc>
        <w:tc>
          <w:tcPr>
            <w:tcW w:w="1312"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p>
        </w:tc>
      </w:tr>
      <w:tr w:rsidR="00FE48A6" w:rsidRPr="00124F23" w:rsidTr="006861CA">
        <w:trPr>
          <w:trHeight w:hRule="exact" w:val="135"/>
        </w:trPr>
        <w:tc>
          <w:tcPr>
            <w:tcW w:w="892" w:type="dxa"/>
            <w:tcBorders>
              <w:top w:val="nil"/>
              <w:left w:val="nil"/>
              <w:bottom w:val="nil"/>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p>
        </w:tc>
      </w:tr>
      <w:tr w:rsidR="00FE48A6" w:rsidRPr="00124F23" w:rsidTr="006861CA">
        <w:trPr>
          <w:trHeight w:val="225"/>
        </w:trPr>
        <w:tc>
          <w:tcPr>
            <w:tcW w:w="892" w:type="dxa"/>
            <w:tcBorders>
              <w:top w:val="nil"/>
              <w:left w:val="nil"/>
              <w:bottom w:val="nil"/>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r w:rsidRPr="00124F23">
              <w:rPr>
                <w:rFonts w:ascii="Times New Roman" w:hAnsi="Times New Roman"/>
                <w:color w:val="000000"/>
                <w:sz w:val="24"/>
              </w:rPr>
              <w:t>0</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-527.9205</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NA </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69274.48</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22.49669</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 22.96449</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22.67347</w:t>
            </w:r>
          </w:p>
        </w:tc>
      </w:tr>
      <w:tr w:rsidR="00FE48A6" w:rsidRPr="00124F23" w:rsidTr="006861CA">
        <w:trPr>
          <w:trHeight w:val="225"/>
        </w:trPr>
        <w:tc>
          <w:tcPr>
            <w:tcW w:w="892" w:type="dxa"/>
            <w:tcBorders>
              <w:top w:val="nil"/>
              <w:left w:val="nil"/>
              <w:bottom w:val="nil"/>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r w:rsidRPr="00124F23">
              <w:rPr>
                <w:rFonts w:ascii="Times New Roman" w:hAnsi="Times New Roman"/>
                <w:color w:val="000000"/>
                <w:sz w:val="24"/>
              </w:rPr>
              <w:t>1</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-491.1196</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 62.86813</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 29344.33*</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21.62999</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 22.72152*</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 22.04248*</w:t>
            </w:r>
          </w:p>
        </w:tc>
      </w:tr>
      <w:tr w:rsidR="00FE48A6" w:rsidRPr="00124F23" w:rsidTr="006861CA">
        <w:trPr>
          <w:trHeight w:val="225"/>
        </w:trPr>
        <w:tc>
          <w:tcPr>
            <w:tcW w:w="892" w:type="dxa"/>
            <w:tcBorders>
              <w:top w:val="nil"/>
              <w:left w:val="nil"/>
              <w:bottom w:val="nil"/>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r w:rsidRPr="00124F23">
              <w:rPr>
                <w:rFonts w:ascii="Times New Roman" w:hAnsi="Times New Roman"/>
                <w:color w:val="000000"/>
                <w:sz w:val="24"/>
              </w:rPr>
              <w:t>2</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-477.4098</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21.13605</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 33091.90</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 21.72541</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23.44067</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22.37361</w:t>
            </w:r>
          </w:p>
        </w:tc>
      </w:tr>
      <w:tr w:rsidR="00FE48A6" w:rsidRPr="00124F23" w:rsidTr="006861CA">
        <w:trPr>
          <w:trHeight w:val="225"/>
        </w:trPr>
        <w:tc>
          <w:tcPr>
            <w:tcW w:w="892" w:type="dxa"/>
            <w:tcBorders>
              <w:top w:val="nil"/>
              <w:left w:val="nil"/>
              <w:bottom w:val="nil"/>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r w:rsidRPr="00124F23">
              <w:rPr>
                <w:rFonts w:ascii="Times New Roman" w:hAnsi="Times New Roman"/>
                <w:color w:val="000000"/>
                <w:sz w:val="24"/>
              </w:rPr>
              <w:t>3</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-464.2882</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18.04221</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 39353.52</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21.84534</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 24.18434</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22.72925</w:t>
            </w:r>
          </w:p>
        </w:tc>
      </w:tr>
      <w:tr w:rsidR="00FE48A6" w:rsidRPr="00124F23" w:rsidTr="006861CA">
        <w:trPr>
          <w:trHeight w:val="225"/>
        </w:trPr>
        <w:tc>
          <w:tcPr>
            <w:tcW w:w="892" w:type="dxa"/>
            <w:tcBorders>
              <w:top w:val="nil"/>
              <w:left w:val="nil"/>
              <w:bottom w:val="nil"/>
              <w:right w:val="nil"/>
            </w:tcBorders>
            <w:vAlign w:val="bottom"/>
          </w:tcPr>
          <w:p w:rsidR="00FE48A6" w:rsidRPr="00124F23" w:rsidRDefault="00FE48A6" w:rsidP="008E5660">
            <w:pPr>
              <w:autoSpaceDE w:val="0"/>
              <w:autoSpaceDN w:val="0"/>
              <w:adjustRightInd w:val="0"/>
              <w:spacing w:after="0"/>
              <w:ind w:left="900"/>
              <w:rPr>
                <w:rFonts w:ascii="Times New Roman" w:hAnsi="Times New Roman"/>
                <w:color w:val="000000"/>
                <w:sz w:val="24"/>
              </w:rPr>
            </w:pPr>
            <w:r w:rsidRPr="00124F23">
              <w:rPr>
                <w:rFonts w:ascii="Times New Roman" w:hAnsi="Times New Roman"/>
                <w:color w:val="000000"/>
                <w:sz w:val="24"/>
              </w:rPr>
              <w:t>4</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-439.8703</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 29.50489*</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30516.08</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21.49460*</w:t>
            </w:r>
          </w:p>
        </w:tc>
        <w:tc>
          <w:tcPr>
            <w:tcW w:w="1313"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24.45733</w:t>
            </w:r>
          </w:p>
        </w:tc>
        <w:tc>
          <w:tcPr>
            <w:tcW w:w="1312" w:type="dxa"/>
            <w:tcBorders>
              <w:top w:val="nil"/>
              <w:left w:val="nil"/>
              <w:bottom w:val="nil"/>
              <w:right w:val="nil"/>
            </w:tcBorders>
            <w:vAlign w:val="bottom"/>
          </w:tcPr>
          <w:p w:rsidR="00FE48A6" w:rsidRPr="00124F23" w:rsidRDefault="00FE48A6" w:rsidP="006861CA">
            <w:pPr>
              <w:autoSpaceDE w:val="0"/>
              <w:autoSpaceDN w:val="0"/>
              <w:adjustRightInd w:val="0"/>
              <w:spacing w:after="0"/>
              <w:rPr>
                <w:rFonts w:ascii="Times New Roman" w:hAnsi="Times New Roman"/>
                <w:color w:val="000000"/>
                <w:sz w:val="24"/>
              </w:rPr>
            </w:pPr>
            <w:r w:rsidRPr="00124F23">
              <w:rPr>
                <w:rFonts w:ascii="Times New Roman" w:hAnsi="Times New Roman"/>
                <w:color w:val="000000"/>
                <w:sz w:val="24"/>
              </w:rPr>
              <w:t>22.61422</w:t>
            </w:r>
          </w:p>
        </w:tc>
      </w:tr>
      <w:tr w:rsidR="00FE48A6" w:rsidRPr="00124F23" w:rsidTr="006861CA">
        <w:trPr>
          <w:trHeight w:hRule="exact" w:val="90"/>
        </w:trPr>
        <w:tc>
          <w:tcPr>
            <w:tcW w:w="892"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double" w:sz="6" w:space="2" w:color="auto"/>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r>
      <w:tr w:rsidR="00FE48A6" w:rsidRPr="00124F23" w:rsidTr="006861CA">
        <w:trPr>
          <w:trHeight w:hRule="exact" w:val="135"/>
        </w:trPr>
        <w:tc>
          <w:tcPr>
            <w:tcW w:w="89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r>
      <w:tr w:rsidR="00FE48A6" w:rsidRPr="00124F23" w:rsidTr="006861CA">
        <w:trPr>
          <w:trHeight w:val="225"/>
        </w:trPr>
        <w:tc>
          <w:tcPr>
            <w:tcW w:w="4830" w:type="dxa"/>
            <w:gridSpan w:val="4"/>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r w:rsidRPr="00124F23">
              <w:rPr>
                <w:rFonts w:ascii="Times New Roman" w:hAnsi="Times New Roman"/>
                <w:color w:val="000000"/>
                <w:sz w:val="24"/>
              </w:rPr>
              <w:t xml:space="preserve"> * </w:t>
            </w:r>
            <w:r w:rsidRPr="00FD1ACB">
              <w:rPr>
                <w:rFonts w:ascii="Times New Roman" w:hAnsi="Times New Roman"/>
                <w:color w:val="000000"/>
                <w:szCs w:val="20"/>
              </w:rPr>
              <w:t>indicates lag order selected by criterion</w:t>
            </w: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3"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c>
          <w:tcPr>
            <w:tcW w:w="1312" w:type="dxa"/>
            <w:tcBorders>
              <w:top w:val="nil"/>
              <w:left w:val="nil"/>
              <w:bottom w:val="nil"/>
              <w:right w:val="nil"/>
            </w:tcBorders>
            <w:vAlign w:val="bottom"/>
          </w:tcPr>
          <w:p w:rsidR="00FE48A6" w:rsidRPr="00124F23" w:rsidRDefault="00FE48A6" w:rsidP="008E5660">
            <w:pPr>
              <w:autoSpaceDE w:val="0"/>
              <w:autoSpaceDN w:val="0"/>
              <w:adjustRightInd w:val="0"/>
              <w:spacing w:after="0" w:line="480" w:lineRule="auto"/>
              <w:ind w:left="900"/>
              <w:rPr>
                <w:rFonts w:ascii="Times New Roman" w:hAnsi="Times New Roman"/>
                <w:color w:val="000000"/>
                <w:sz w:val="24"/>
              </w:rPr>
            </w:pPr>
          </w:p>
        </w:tc>
      </w:tr>
    </w:tbl>
    <w:p w:rsidR="00FE48A6" w:rsidRPr="00FD1ACB" w:rsidRDefault="00FE48A6" w:rsidP="008E5660">
      <w:pPr>
        <w:autoSpaceDE w:val="0"/>
        <w:autoSpaceDN w:val="0"/>
        <w:adjustRightInd w:val="0"/>
        <w:spacing w:after="0" w:line="480" w:lineRule="auto"/>
        <w:ind w:left="900"/>
        <w:jc w:val="center"/>
        <w:rPr>
          <w:rFonts w:ascii="Times New Roman" w:hAnsi="Times New Roman"/>
          <w:bCs/>
          <w:sz w:val="24"/>
        </w:rPr>
      </w:pPr>
      <w:r>
        <w:rPr>
          <w:rFonts w:ascii="Times New Roman" w:hAnsi="Times New Roman"/>
          <w:sz w:val="24"/>
        </w:rPr>
        <w:t>Table 4:</w:t>
      </w:r>
      <w:r w:rsidRPr="00FD1ACB">
        <w:rPr>
          <w:rFonts w:ascii="Times New Roman" w:hAnsi="Times New Roman"/>
          <w:sz w:val="24"/>
        </w:rPr>
        <w:t xml:space="preserve"> </w:t>
      </w:r>
      <w:r w:rsidRPr="00FD1ACB">
        <w:rPr>
          <w:rFonts w:ascii="Times New Roman" w:hAnsi="Times New Roman"/>
          <w:color w:val="222222"/>
          <w:sz w:val="24"/>
        </w:rPr>
        <w:t>The number of lags in the model</w:t>
      </w:r>
    </w:p>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The long- run parameter of the economic growth (</w:t>
      </w:r>
      <w:r w:rsidRPr="00124F23">
        <w:rPr>
          <w:rFonts w:ascii="Times New Roman" w:hAnsi="Times New Roman"/>
          <w:b/>
          <w:sz w:val="24"/>
        </w:rPr>
        <w:t>GDPG</w:t>
      </w:r>
      <w:r w:rsidRPr="00124F23">
        <w:rPr>
          <w:rFonts w:ascii="Times New Roman" w:hAnsi="Times New Roman"/>
          <w:sz w:val="24"/>
        </w:rPr>
        <w:t xml:space="preserve">) is positive and highly significant, showing that if real GDP growth rate increases by 1 percent, then the FDI inflows will increase on average by 1.072193 percent, assuming all other factors unchanged. Moreover, this positive relation is in accordance with our initial expectations and has </w:t>
      </w:r>
      <w:r w:rsidRPr="00124F23">
        <w:rPr>
          <w:rFonts w:ascii="Times New Roman" w:hAnsi="Times New Roman"/>
          <w:color w:val="222222"/>
          <w:sz w:val="24"/>
        </w:rPr>
        <w:t>credible</w:t>
      </w:r>
      <w:r w:rsidRPr="00124F23">
        <w:rPr>
          <w:rFonts w:ascii="Times New Roman" w:hAnsi="Times New Roman"/>
          <w:sz w:val="24"/>
        </w:rPr>
        <w:t xml:space="preserve"> theoretical background by its own definition. As a rule, the market size has a positive relation with FDI, which means that a larger market and a </w:t>
      </w:r>
      <w:r w:rsidRPr="00124F23">
        <w:rPr>
          <w:rFonts w:ascii="Times New Roman" w:hAnsi="Times New Roman"/>
          <w:sz w:val="24"/>
        </w:rPr>
        <w:lastRenderedPageBreak/>
        <w:t xml:space="preserve">market that is increasingly growing will receive larger inflows of FDI. On the other hand, growth enhancing the acceleration of FDI inflow suggests that the increase in FDI causes a positive reaction to the economic growth in Macedonia. </w:t>
      </w:r>
    </w:p>
    <w:p w:rsidR="00FE48A6" w:rsidRPr="00124F23" w:rsidRDefault="00FE48A6" w:rsidP="008E5660">
      <w:pPr>
        <w:spacing w:after="0"/>
        <w:ind w:left="900"/>
        <w:rPr>
          <w:rFonts w:ascii="Times New Roman" w:hAnsi="Times New Roman"/>
          <w:sz w:val="24"/>
        </w:rPr>
      </w:pPr>
    </w:p>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With regard to the openness of the economy (</w:t>
      </w:r>
      <w:r w:rsidRPr="00124F23">
        <w:rPr>
          <w:rFonts w:ascii="Times New Roman" w:hAnsi="Times New Roman"/>
          <w:b/>
          <w:sz w:val="24"/>
        </w:rPr>
        <w:t>OPEN</w:t>
      </w:r>
      <w:r w:rsidRPr="00124F23">
        <w:rPr>
          <w:rFonts w:ascii="Times New Roman" w:hAnsi="Times New Roman"/>
          <w:sz w:val="24"/>
        </w:rPr>
        <w:t>), a positive and highly significant long-run relation has been obtained, assuming all other factors unchanged. The research points to the importance of an open economy for attracting FDI. This is in accordance with our initial expectations and is also found in some previous empirical studies. Countries that want to attract more FDI ought to increase foreign trade exchange as well (Aiedu, 2006). At the same time, some empirical studies (Aiedu, 2006; Vijayakumar et al. 2010) argue that countries which receive less FDI would be more attractive if they implemented reforms</w:t>
      </w:r>
      <w:r>
        <w:rPr>
          <w:rFonts w:ascii="Times New Roman" w:hAnsi="Times New Roman"/>
          <w:sz w:val="24"/>
        </w:rPr>
        <w:t xml:space="preserve"> that liberalize their foreign trade</w:t>
      </w:r>
      <w:r w:rsidRPr="00124F23">
        <w:rPr>
          <w:rFonts w:ascii="Times New Roman" w:hAnsi="Times New Roman"/>
          <w:sz w:val="24"/>
        </w:rPr>
        <w:t xml:space="preserve">. </w:t>
      </w:r>
    </w:p>
    <w:p w:rsidR="00FE48A6" w:rsidRPr="00124F23" w:rsidRDefault="00FE48A6" w:rsidP="008E5660">
      <w:pPr>
        <w:autoSpaceDE w:val="0"/>
        <w:autoSpaceDN w:val="0"/>
        <w:adjustRightInd w:val="0"/>
        <w:spacing w:after="0"/>
        <w:ind w:left="900"/>
        <w:rPr>
          <w:rFonts w:ascii="Times New Roman" w:hAnsi="Times New Roman"/>
          <w:sz w:val="24"/>
        </w:rPr>
      </w:pPr>
    </w:p>
    <w:p w:rsidR="00FE48A6" w:rsidRPr="00124F23" w:rsidRDefault="00FE48A6" w:rsidP="008E5660">
      <w:pPr>
        <w:autoSpaceDE w:val="0"/>
        <w:autoSpaceDN w:val="0"/>
        <w:adjustRightInd w:val="0"/>
        <w:spacing w:after="0"/>
        <w:ind w:left="900"/>
        <w:rPr>
          <w:rFonts w:ascii="Times New Roman" w:hAnsi="Times New Roman"/>
          <w:sz w:val="24"/>
        </w:rPr>
      </w:pPr>
      <w:r w:rsidRPr="00124F23">
        <w:rPr>
          <w:rFonts w:ascii="Times New Roman" w:hAnsi="Times New Roman"/>
          <w:sz w:val="24"/>
        </w:rPr>
        <w:t>The labor productivity (</w:t>
      </w:r>
      <w:r w:rsidRPr="00124F23">
        <w:rPr>
          <w:rFonts w:ascii="Times New Roman" w:hAnsi="Times New Roman"/>
          <w:b/>
          <w:sz w:val="24"/>
        </w:rPr>
        <w:t>LABPRD</w:t>
      </w:r>
      <w:r w:rsidRPr="00124F23">
        <w:rPr>
          <w:rFonts w:ascii="Times New Roman" w:hAnsi="Times New Roman"/>
          <w:sz w:val="24"/>
        </w:rPr>
        <w:t>) long-run parameter is positive and significant, with a lower level of significance of 5%, which shows that if the labor productivity increases by 1 percent, then the FDI indicator will increase by 0.550584 percent on average, assuming all other factors unchanged. Given the growth rate of labor productivity is increasing the amount of GDP per employee we can conclude that attractiveness for investment in Macedonia is increasing with the ability to generate more revenue per employee. Taking into consideration that FDI enable the creation of new jobs, productivity growth would mean faster GDP growth relative to the increase in number of employees. On the other hand, as a result of FDI, application of modern technology and know-how is expected, which would in turn encourage the growth of productivity. Even though the result was in line with our initial expectations and theoretical background in mind, it is necessary to take into account the fact that the relationship is at a lower level of significance of 5% and this long-term placement of parameters is no</w:t>
      </w:r>
      <w:r>
        <w:rPr>
          <w:rFonts w:ascii="Times New Roman" w:hAnsi="Times New Roman"/>
          <w:sz w:val="24"/>
        </w:rPr>
        <w:t>t as pronounced in this respect. Therefore,</w:t>
      </w:r>
      <w:r w:rsidRPr="00124F23">
        <w:rPr>
          <w:rFonts w:ascii="Times New Roman" w:hAnsi="Times New Roman"/>
          <w:sz w:val="24"/>
        </w:rPr>
        <w:t xml:space="preserve"> it is necessary to take into account the fact that in many cases foreign investors create jobs by employing workers who were already employed in domestic companies. In this case of unchanged number of employments, the state faces higher costs due to its state tax incentives and education for the newly employed. </w:t>
      </w:r>
    </w:p>
    <w:p w:rsidR="00FE48A6" w:rsidRPr="00124F23" w:rsidRDefault="00FE48A6" w:rsidP="008E5660">
      <w:pPr>
        <w:autoSpaceDE w:val="0"/>
        <w:autoSpaceDN w:val="0"/>
        <w:adjustRightInd w:val="0"/>
        <w:spacing w:after="0"/>
        <w:ind w:left="900"/>
        <w:rPr>
          <w:rFonts w:ascii="Times New Roman" w:hAnsi="Times New Roman"/>
          <w:sz w:val="24"/>
        </w:rPr>
      </w:pPr>
    </w:p>
    <w:p w:rsidR="00FE48A6" w:rsidRPr="00124F23" w:rsidRDefault="00FE48A6" w:rsidP="008E5660">
      <w:pPr>
        <w:autoSpaceDE w:val="0"/>
        <w:autoSpaceDN w:val="0"/>
        <w:adjustRightInd w:val="0"/>
        <w:spacing w:after="0"/>
        <w:ind w:left="900"/>
        <w:rPr>
          <w:rFonts w:ascii="Times New Roman" w:hAnsi="Times New Roman"/>
          <w:sz w:val="24"/>
        </w:rPr>
      </w:pPr>
      <w:r w:rsidRPr="00124F23">
        <w:rPr>
          <w:rFonts w:ascii="Times New Roman" w:hAnsi="Times New Roman"/>
          <w:sz w:val="24"/>
        </w:rPr>
        <w:t>The long-run parameter of the current account balance (BP) is negative and with a weak level of significance of 10%. The inverse relation is a result of the FDI inflow influences in reducing the current account balance of payment’s deficit. This is in accordance with the NBRM paper analyzing the effects of companies</w:t>
      </w:r>
      <w:r>
        <w:rPr>
          <w:rFonts w:ascii="Times New Roman" w:hAnsi="Times New Roman"/>
          <w:sz w:val="24"/>
        </w:rPr>
        <w:t>’ activity in T</w:t>
      </w:r>
      <w:r w:rsidRPr="00124F23">
        <w:rPr>
          <w:rFonts w:ascii="Times New Roman" w:hAnsi="Times New Roman"/>
          <w:sz w:val="24"/>
        </w:rPr>
        <w:t>D</w:t>
      </w:r>
      <w:r>
        <w:rPr>
          <w:rFonts w:ascii="Times New Roman" w:hAnsi="Times New Roman"/>
          <w:sz w:val="24"/>
        </w:rPr>
        <w:t>I</w:t>
      </w:r>
      <w:r w:rsidRPr="00124F23">
        <w:rPr>
          <w:rFonts w:ascii="Times New Roman" w:hAnsi="Times New Roman"/>
          <w:sz w:val="24"/>
        </w:rPr>
        <w:t xml:space="preserve">Z on the balance of payments of the Republic of Macedonia, where it is stated that the operation of new companies improved (narrowed) the current account deficit by an average of 0.3 percentage points of GDP in the past seven years. Namely, the average current account deficit in the period 2009-2015 amounted to 2.6% of GDP, while if the activity of the new companies was excluded it would be 3.0% of GDP. The dynamic analysis of the current account deficit is a useful explanation of our results relating to the weak significance between FDI and current account balance, </w:t>
      </w:r>
      <w:r>
        <w:rPr>
          <w:rFonts w:ascii="Times New Roman" w:hAnsi="Times New Roman"/>
          <w:sz w:val="24"/>
        </w:rPr>
        <w:t>showing that the effect of T</w:t>
      </w:r>
      <w:r w:rsidRPr="00124F23">
        <w:rPr>
          <w:rFonts w:ascii="Times New Roman" w:hAnsi="Times New Roman"/>
          <w:sz w:val="24"/>
        </w:rPr>
        <w:t>D</w:t>
      </w:r>
      <w:r>
        <w:rPr>
          <w:rFonts w:ascii="Times New Roman" w:hAnsi="Times New Roman"/>
          <w:sz w:val="24"/>
        </w:rPr>
        <w:t>I</w:t>
      </w:r>
      <w:r w:rsidRPr="00124F23">
        <w:rPr>
          <w:rFonts w:ascii="Times New Roman" w:hAnsi="Times New Roman"/>
          <w:sz w:val="24"/>
        </w:rPr>
        <w:t xml:space="preserve">Z in the first five-year period is generally small and such dynamics of the current account balance results from higher initial import of equipment and materials at the time of founding the new facilities and the initial investment cycle, while more </w:t>
      </w:r>
      <w:r w:rsidRPr="00124F23">
        <w:rPr>
          <w:rFonts w:ascii="Times New Roman" w:hAnsi="Times New Roman"/>
          <w:sz w:val="24"/>
        </w:rPr>
        <w:lastRenderedPageBreak/>
        <w:t>significant effects were registered in the last two years, when the effect on the deficit contributed to narrowing the negative gap in the current account.</w:t>
      </w:r>
    </w:p>
    <w:p w:rsidR="00FE48A6" w:rsidRPr="00124F23" w:rsidRDefault="00FE48A6" w:rsidP="008E5660">
      <w:pPr>
        <w:autoSpaceDE w:val="0"/>
        <w:autoSpaceDN w:val="0"/>
        <w:adjustRightInd w:val="0"/>
        <w:spacing w:after="0"/>
        <w:ind w:left="900"/>
        <w:rPr>
          <w:rFonts w:ascii="Times New Roman" w:hAnsi="Times New Roman"/>
          <w:sz w:val="24"/>
        </w:rPr>
      </w:pPr>
    </w:p>
    <w:p w:rsidR="00FE48A6" w:rsidRPr="00124F23" w:rsidRDefault="00FE48A6" w:rsidP="008E5660">
      <w:pPr>
        <w:autoSpaceDE w:val="0"/>
        <w:autoSpaceDN w:val="0"/>
        <w:adjustRightInd w:val="0"/>
        <w:spacing w:after="0"/>
        <w:ind w:left="900"/>
        <w:rPr>
          <w:rFonts w:ascii="Times New Roman" w:hAnsi="Times New Roman"/>
          <w:sz w:val="24"/>
        </w:rPr>
      </w:pPr>
      <w:r w:rsidRPr="00124F23">
        <w:rPr>
          <w:rFonts w:ascii="Times New Roman" w:hAnsi="Times New Roman"/>
          <w:sz w:val="24"/>
        </w:rPr>
        <w:t xml:space="preserve">If we look at the institutional and political variables with potential influence on FDI separately, we can consider that the Index of Political Factors </w:t>
      </w:r>
      <w:r w:rsidRPr="00124F23">
        <w:rPr>
          <w:rFonts w:ascii="Times New Roman" w:hAnsi="Times New Roman"/>
          <w:b/>
          <w:sz w:val="24"/>
        </w:rPr>
        <w:t xml:space="preserve">(POLICY) </w:t>
      </w:r>
      <w:r w:rsidRPr="00124F23">
        <w:rPr>
          <w:rFonts w:ascii="Times New Roman" w:hAnsi="Times New Roman"/>
          <w:sz w:val="24"/>
        </w:rPr>
        <w:t>based on Political Stability, Government Effectiveness and Regulatory Quality percentile ranks for a country, has a positive relation with the FDI indicator. This index captures the perceptions of the ability of the government to formulate and implement sound policies and regulations, quality of public services, the degree of independence from political pressures, as well as the likelihood of political instability. Hence, greater government credibility and political stability have greater potential to accelerate the FDI inflow in the country.</w:t>
      </w:r>
    </w:p>
    <w:p w:rsidR="00FE48A6" w:rsidRPr="00124F23" w:rsidRDefault="00FE48A6" w:rsidP="008E5660">
      <w:pPr>
        <w:autoSpaceDE w:val="0"/>
        <w:autoSpaceDN w:val="0"/>
        <w:adjustRightInd w:val="0"/>
        <w:spacing w:after="0"/>
        <w:ind w:left="900"/>
        <w:rPr>
          <w:rFonts w:ascii="Times New Roman" w:hAnsi="Times New Roman"/>
          <w:sz w:val="24"/>
        </w:rPr>
      </w:pPr>
    </w:p>
    <w:p w:rsidR="00FE48A6" w:rsidRPr="00124F23" w:rsidRDefault="00FE48A6" w:rsidP="008E5660">
      <w:pPr>
        <w:spacing w:after="0"/>
        <w:ind w:left="900"/>
        <w:rPr>
          <w:rFonts w:ascii="Times New Roman" w:hAnsi="Times New Roman"/>
          <w:sz w:val="24"/>
        </w:rPr>
      </w:pPr>
      <w:r w:rsidRPr="00124F23">
        <w:rPr>
          <w:rFonts w:ascii="Times New Roman" w:hAnsi="Times New Roman"/>
          <w:sz w:val="24"/>
        </w:rPr>
        <w:t xml:space="preserve">The Index of Institutional Factors </w:t>
      </w:r>
      <w:r w:rsidRPr="008361AE">
        <w:rPr>
          <w:rFonts w:ascii="Times New Roman" w:hAnsi="Times New Roman"/>
          <w:b/>
          <w:sz w:val="24"/>
        </w:rPr>
        <w:t>(INSTITUT)</w:t>
      </w:r>
      <w:r w:rsidRPr="00124F23">
        <w:rPr>
          <w:rFonts w:ascii="Times New Roman" w:hAnsi="Times New Roman"/>
          <w:sz w:val="24"/>
        </w:rPr>
        <w:t xml:space="preserve"> is calculated as an index based on the Corruption Percentile Rank for a country (captures the perceptions of the extent to which public power is exercised for</w:t>
      </w:r>
      <w:r>
        <w:rPr>
          <w:rFonts w:ascii="Times New Roman" w:hAnsi="Times New Roman"/>
          <w:sz w:val="24"/>
        </w:rPr>
        <w:t xml:space="preserve"> private gain) and the Rule of Law Percentile R</w:t>
      </w:r>
      <w:r w:rsidRPr="00124F23">
        <w:rPr>
          <w:rFonts w:ascii="Times New Roman" w:hAnsi="Times New Roman"/>
          <w:sz w:val="24"/>
        </w:rPr>
        <w:t>ank for a country (captures the perceptions of the extent to which agents have confidence in the quality of contract enforcement, property rights, the police and the courts). According to the results obtained, there is an inverse insignificant influence of the index of institutional factors on FDI in Macedonia. The inverse relation between FDI and institutional factors may indicate that the lack of transparency, low quality of contract enforcement, insufficient control of corruption and inefficient courts may attract more FDI inflows as a result of greater opportunity for profit generation in a country with lower levels of institutional regulation.</w:t>
      </w:r>
    </w:p>
    <w:p w:rsidR="00FE48A6" w:rsidRPr="00124F23" w:rsidRDefault="00FE48A6" w:rsidP="008E5660">
      <w:pPr>
        <w:spacing w:after="0"/>
        <w:ind w:left="900"/>
        <w:rPr>
          <w:rFonts w:ascii="Times New Roman" w:hAnsi="Times New Roman"/>
          <w:sz w:val="24"/>
        </w:rPr>
      </w:pPr>
    </w:p>
    <w:sectPr w:rsidR="00FE48A6" w:rsidRPr="00124F23" w:rsidSect="002D6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846" w:rsidRDefault="00CF1846" w:rsidP="005072FD">
      <w:pPr>
        <w:spacing w:after="0"/>
      </w:pPr>
      <w:r>
        <w:separator/>
      </w:r>
    </w:p>
  </w:endnote>
  <w:endnote w:type="continuationSeparator" w:id="0">
    <w:p w:rsidR="00CF1846" w:rsidRDefault="00CF1846" w:rsidP="005072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ronos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846" w:rsidRDefault="00CF1846" w:rsidP="005072FD">
      <w:pPr>
        <w:spacing w:after="0"/>
      </w:pPr>
      <w:r>
        <w:separator/>
      </w:r>
    </w:p>
  </w:footnote>
  <w:footnote w:type="continuationSeparator" w:id="0">
    <w:p w:rsidR="00CF1846" w:rsidRDefault="00CF1846" w:rsidP="005072FD">
      <w:pPr>
        <w:spacing w:after="0"/>
      </w:pPr>
      <w:r>
        <w:continuationSeparator/>
      </w:r>
    </w:p>
  </w:footnote>
  <w:footnote w:id="1">
    <w:p w:rsidR="00FE48A6" w:rsidRPr="000F02B0" w:rsidRDefault="00FE48A6" w:rsidP="00C529D1">
      <w:pPr>
        <w:pStyle w:val="FootnoteText"/>
        <w:rPr>
          <w:rFonts w:ascii="Times New Roman" w:hAnsi="Times New Roman"/>
          <w:lang w:val="fr-FR"/>
        </w:rPr>
      </w:pPr>
      <w:r>
        <w:rPr>
          <w:rStyle w:val="FootnoteReference"/>
        </w:rPr>
        <w:footnoteRef/>
      </w:r>
      <w:r>
        <w:t xml:space="preserve"> </w:t>
      </w:r>
      <w:r w:rsidRPr="000F02B0">
        <w:rPr>
          <w:rFonts w:ascii="Times New Roman" w:hAnsi="Times New Roman"/>
        </w:rPr>
        <w:t xml:space="preserve">UKIM, Faculty of Economics – </w:t>
      </w:r>
      <w:smartTag w:uri="urn:schemas-microsoft-com:office:smarttags" w:element="City">
        <w:r w:rsidRPr="000F02B0">
          <w:rPr>
            <w:rFonts w:ascii="Times New Roman" w:hAnsi="Times New Roman"/>
          </w:rPr>
          <w:t>Skopje</w:t>
        </w:r>
      </w:smartTag>
      <w:r w:rsidRPr="000F02B0">
        <w:rPr>
          <w:rFonts w:ascii="Times New Roman" w:hAnsi="Times New Roman"/>
        </w:rPr>
        <w:t xml:space="preserve">, Blvd. </w:t>
      </w:r>
      <w:r w:rsidRPr="000F02B0">
        <w:rPr>
          <w:rFonts w:ascii="Times New Roman" w:hAnsi="Times New Roman"/>
          <w:lang w:val="fr-FR"/>
        </w:rPr>
        <w:t>“Goce Delcev” 9V, 1000, Skopje, irena@eccf.ukim.edu.mk</w:t>
      </w:r>
    </w:p>
  </w:footnote>
  <w:footnote w:id="2">
    <w:p w:rsidR="00FE48A6" w:rsidRPr="000F02B0" w:rsidRDefault="00FE48A6" w:rsidP="00C529D1">
      <w:pPr>
        <w:pStyle w:val="FootnoteText"/>
        <w:rPr>
          <w:rFonts w:ascii="Times New Roman" w:hAnsi="Times New Roman"/>
          <w:lang w:val="fr-FR"/>
        </w:rPr>
      </w:pPr>
      <w:r w:rsidRPr="000F02B0">
        <w:rPr>
          <w:rStyle w:val="FootnoteReference"/>
          <w:rFonts w:ascii="Times New Roman" w:hAnsi="Times New Roman"/>
        </w:rPr>
        <w:footnoteRef/>
      </w:r>
      <w:r w:rsidRPr="000F02B0">
        <w:rPr>
          <w:rFonts w:ascii="Times New Roman" w:hAnsi="Times New Roman"/>
        </w:rPr>
        <w:t xml:space="preserve"> UKIM, Faculty of Economics – </w:t>
      </w:r>
      <w:smartTag w:uri="urn:schemas-microsoft-com:office:smarttags" w:element="City">
        <w:r w:rsidRPr="000F02B0">
          <w:rPr>
            <w:rFonts w:ascii="Times New Roman" w:hAnsi="Times New Roman"/>
          </w:rPr>
          <w:t>Skopje</w:t>
        </w:r>
      </w:smartTag>
      <w:r w:rsidRPr="000F02B0">
        <w:rPr>
          <w:rFonts w:ascii="Times New Roman" w:hAnsi="Times New Roman"/>
        </w:rPr>
        <w:t xml:space="preserve">, Blvd. </w:t>
      </w:r>
      <w:r w:rsidRPr="000F02B0">
        <w:rPr>
          <w:rFonts w:ascii="Times New Roman" w:hAnsi="Times New Roman"/>
          <w:lang w:val="fr-FR"/>
        </w:rPr>
        <w:t xml:space="preserve">“Goce Delcev” 9V, 1000, Skopje, </w:t>
      </w:r>
      <w:hyperlink r:id="rId1" w:history="1">
        <w:r w:rsidRPr="000F02B0">
          <w:rPr>
            <w:rStyle w:val="Hyperlink"/>
            <w:rFonts w:ascii="Times New Roman" w:hAnsi="Times New Roman"/>
            <w:lang w:val="fr-FR"/>
          </w:rPr>
          <w:t>elenan@eccf.ukim.edu.mk</w:t>
        </w:r>
      </w:hyperlink>
    </w:p>
  </w:footnote>
  <w:footnote w:id="3">
    <w:p w:rsidR="00FE48A6" w:rsidRPr="000F02B0" w:rsidRDefault="00FE48A6" w:rsidP="00C529D1">
      <w:pPr>
        <w:pStyle w:val="FootnoteText"/>
        <w:rPr>
          <w:rFonts w:ascii="Times New Roman" w:hAnsi="Times New Roman"/>
          <w:lang w:val="fr-FR"/>
        </w:rPr>
      </w:pPr>
      <w:r w:rsidRPr="000F02B0">
        <w:rPr>
          <w:rStyle w:val="FootnoteReference"/>
          <w:rFonts w:ascii="Times New Roman" w:hAnsi="Times New Roman"/>
        </w:rPr>
        <w:footnoteRef/>
      </w:r>
      <w:r w:rsidRPr="000F02B0">
        <w:rPr>
          <w:rFonts w:ascii="Times New Roman" w:hAnsi="Times New Roman"/>
        </w:rPr>
        <w:t xml:space="preserve"> UKIM, Faculty of Economics – </w:t>
      </w:r>
      <w:smartTag w:uri="urn:schemas-microsoft-com:office:smarttags" w:element="City">
        <w:r w:rsidRPr="000F02B0">
          <w:rPr>
            <w:rFonts w:ascii="Times New Roman" w:hAnsi="Times New Roman"/>
          </w:rPr>
          <w:t>Skopje</w:t>
        </w:r>
      </w:smartTag>
      <w:r w:rsidRPr="000F02B0">
        <w:rPr>
          <w:rFonts w:ascii="Times New Roman" w:hAnsi="Times New Roman"/>
        </w:rPr>
        <w:t xml:space="preserve">, Blvd. </w:t>
      </w:r>
      <w:r w:rsidRPr="000F02B0">
        <w:rPr>
          <w:rFonts w:ascii="Times New Roman" w:hAnsi="Times New Roman"/>
          <w:lang w:val="fr-FR"/>
        </w:rPr>
        <w:t xml:space="preserve">“Goce Delcev” 9V, 1000, </w:t>
      </w:r>
      <w:smartTag w:uri="urn:schemas-microsoft-com:office:smarttags" w:element="place">
        <w:smartTag w:uri="urn:schemas-microsoft-com:office:smarttags" w:element="City">
          <w:r w:rsidRPr="000F02B0">
            <w:rPr>
              <w:rFonts w:ascii="Times New Roman" w:hAnsi="Times New Roman"/>
              <w:lang w:val="fr-FR"/>
            </w:rPr>
            <w:t>Skopje</w:t>
          </w:r>
        </w:smartTag>
      </w:smartTag>
      <w:r w:rsidRPr="000F02B0">
        <w:rPr>
          <w:rFonts w:ascii="Times New Roman" w:hAnsi="Times New Roman"/>
          <w:lang w:val="fr-FR"/>
        </w:rPr>
        <w:t>, katerina@eccf.ukim.edu.mk</w:t>
      </w:r>
    </w:p>
  </w:footnote>
  <w:footnote w:id="4">
    <w:p w:rsidR="00FE48A6" w:rsidRPr="000F02B0" w:rsidRDefault="00FE48A6" w:rsidP="00C529D1">
      <w:pPr>
        <w:pStyle w:val="FootnoteText"/>
        <w:rPr>
          <w:rFonts w:ascii="Times New Roman" w:hAnsi="Times New Roman"/>
          <w:lang w:val="fr-FR"/>
        </w:rPr>
      </w:pPr>
      <w:r w:rsidRPr="000F02B0">
        <w:rPr>
          <w:rStyle w:val="FootnoteReference"/>
          <w:rFonts w:ascii="Times New Roman" w:hAnsi="Times New Roman"/>
        </w:rPr>
        <w:footnoteRef/>
      </w:r>
      <w:r w:rsidRPr="000F02B0">
        <w:rPr>
          <w:rFonts w:ascii="Times New Roman" w:hAnsi="Times New Roman"/>
        </w:rPr>
        <w:t xml:space="preserve"> UKIM, Faculty of Economics – </w:t>
      </w:r>
      <w:smartTag w:uri="urn:schemas-microsoft-com:office:smarttags" w:element="City">
        <w:r w:rsidRPr="000F02B0">
          <w:rPr>
            <w:rFonts w:ascii="Times New Roman" w:hAnsi="Times New Roman"/>
          </w:rPr>
          <w:t>Skopje</w:t>
        </w:r>
      </w:smartTag>
      <w:r w:rsidRPr="000F02B0">
        <w:rPr>
          <w:rFonts w:ascii="Times New Roman" w:hAnsi="Times New Roman"/>
        </w:rPr>
        <w:t xml:space="preserve">, Blvd. </w:t>
      </w:r>
      <w:r w:rsidRPr="000F02B0">
        <w:rPr>
          <w:rFonts w:ascii="Times New Roman" w:hAnsi="Times New Roman"/>
          <w:lang w:val="fr-FR"/>
        </w:rPr>
        <w:t xml:space="preserve">“Goce Delcev” 9V, 1000, </w:t>
      </w:r>
      <w:smartTag w:uri="urn:schemas-microsoft-com:office:smarttags" w:element="place">
        <w:smartTag w:uri="urn:schemas-microsoft-com:office:smarttags" w:element="City">
          <w:r w:rsidRPr="000F02B0">
            <w:rPr>
              <w:rFonts w:ascii="Times New Roman" w:hAnsi="Times New Roman"/>
              <w:lang w:val="fr-FR"/>
            </w:rPr>
            <w:t>Skopje</w:t>
          </w:r>
        </w:smartTag>
      </w:smartTag>
      <w:r w:rsidRPr="000F02B0">
        <w:rPr>
          <w:rFonts w:ascii="Times New Roman" w:hAnsi="Times New Roman"/>
          <w:lang w:val="fr-FR"/>
        </w:rPr>
        <w:t>, elenam@eccf.ukim.edu.mk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13B17"/>
    <w:multiLevelType w:val="hybridMultilevel"/>
    <w:tmpl w:val="2D52F484"/>
    <w:lvl w:ilvl="0" w:tplc="249CE8A4">
      <w:start w:val="1"/>
      <w:numFmt w:val="bullet"/>
      <w:lvlText w:val=""/>
      <w:lvlJc w:val="left"/>
      <w:pPr>
        <w:tabs>
          <w:tab w:val="num" w:pos="720"/>
        </w:tabs>
        <w:ind w:left="720" w:hanging="360"/>
      </w:pPr>
      <w:rPr>
        <w:rFonts w:ascii="Wingdings" w:hAnsi="Wingdings" w:hint="default"/>
      </w:rPr>
    </w:lvl>
    <w:lvl w:ilvl="1" w:tplc="5D806728" w:tentative="1">
      <w:start w:val="1"/>
      <w:numFmt w:val="bullet"/>
      <w:lvlText w:val=""/>
      <w:lvlJc w:val="left"/>
      <w:pPr>
        <w:tabs>
          <w:tab w:val="num" w:pos="1440"/>
        </w:tabs>
        <w:ind w:left="1440" w:hanging="360"/>
      </w:pPr>
      <w:rPr>
        <w:rFonts w:ascii="Wingdings" w:hAnsi="Wingdings" w:hint="default"/>
      </w:rPr>
    </w:lvl>
    <w:lvl w:ilvl="2" w:tplc="F88CCBC4" w:tentative="1">
      <w:start w:val="1"/>
      <w:numFmt w:val="bullet"/>
      <w:lvlText w:val=""/>
      <w:lvlJc w:val="left"/>
      <w:pPr>
        <w:tabs>
          <w:tab w:val="num" w:pos="2160"/>
        </w:tabs>
        <w:ind w:left="2160" w:hanging="360"/>
      </w:pPr>
      <w:rPr>
        <w:rFonts w:ascii="Wingdings" w:hAnsi="Wingdings" w:hint="default"/>
      </w:rPr>
    </w:lvl>
    <w:lvl w:ilvl="3" w:tplc="B3A0A108" w:tentative="1">
      <w:start w:val="1"/>
      <w:numFmt w:val="bullet"/>
      <w:lvlText w:val=""/>
      <w:lvlJc w:val="left"/>
      <w:pPr>
        <w:tabs>
          <w:tab w:val="num" w:pos="2880"/>
        </w:tabs>
        <w:ind w:left="2880" w:hanging="360"/>
      </w:pPr>
      <w:rPr>
        <w:rFonts w:ascii="Wingdings" w:hAnsi="Wingdings" w:hint="default"/>
      </w:rPr>
    </w:lvl>
    <w:lvl w:ilvl="4" w:tplc="3B744D24" w:tentative="1">
      <w:start w:val="1"/>
      <w:numFmt w:val="bullet"/>
      <w:lvlText w:val=""/>
      <w:lvlJc w:val="left"/>
      <w:pPr>
        <w:tabs>
          <w:tab w:val="num" w:pos="3600"/>
        </w:tabs>
        <w:ind w:left="3600" w:hanging="360"/>
      </w:pPr>
      <w:rPr>
        <w:rFonts w:ascii="Wingdings" w:hAnsi="Wingdings" w:hint="default"/>
      </w:rPr>
    </w:lvl>
    <w:lvl w:ilvl="5" w:tplc="AD783F8A" w:tentative="1">
      <w:start w:val="1"/>
      <w:numFmt w:val="bullet"/>
      <w:lvlText w:val=""/>
      <w:lvlJc w:val="left"/>
      <w:pPr>
        <w:tabs>
          <w:tab w:val="num" w:pos="4320"/>
        </w:tabs>
        <w:ind w:left="4320" w:hanging="360"/>
      </w:pPr>
      <w:rPr>
        <w:rFonts w:ascii="Wingdings" w:hAnsi="Wingdings" w:hint="default"/>
      </w:rPr>
    </w:lvl>
    <w:lvl w:ilvl="6" w:tplc="F758A91A" w:tentative="1">
      <w:start w:val="1"/>
      <w:numFmt w:val="bullet"/>
      <w:lvlText w:val=""/>
      <w:lvlJc w:val="left"/>
      <w:pPr>
        <w:tabs>
          <w:tab w:val="num" w:pos="5040"/>
        </w:tabs>
        <w:ind w:left="5040" w:hanging="360"/>
      </w:pPr>
      <w:rPr>
        <w:rFonts w:ascii="Wingdings" w:hAnsi="Wingdings" w:hint="default"/>
      </w:rPr>
    </w:lvl>
    <w:lvl w:ilvl="7" w:tplc="C38ED724" w:tentative="1">
      <w:start w:val="1"/>
      <w:numFmt w:val="bullet"/>
      <w:lvlText w:val=""/>
      <w:lvlJc w:val="left"/>
      <w:pPr>
        <w:tabs>
          <w:tab w:val="num" w:pos="5760"/>
        </w:tabs>
        <w:ind w:left="5760" w:hanging="360"/>
      </w:pPr>
      <w:rPr>
        <w:rFonts w:ascii="Wingdings" w:hAnsi="Wingdings" w:hint="default"/>
      </w:rPr>
    </w:lvl>
    <w:lvl w:ilvl="8" w:tplc="1B2A8D72" w:tentative="1">
      <w:start w:val="1"/>
      <w:numFmt w:val="bullet"/>
      <w:lvlText w:val=""/>
      <w:lvlJc w:val="left"/>
      <w:pPr>
        <w:tabs>
          <w:tab w:val="num" w:pos="6480"/>
        </w:tabs>
        <w:ind w:left="6480" w:hanging="360"/>
      </w:pPr>
      <w:rPr>
        <w:rFonts w:ascii="Wingdings" w:hAnsi="Wingdings" w:hint="default"/>
      </w:rPr>
    </w:lvl>
  </w:abstractNum>
  <w:abstractNum w:abstractNumId="1">
    <w:nsid w:val="13DF10A6"/>
    <w:multiLevelType w:val="hybridMultilevel"/>
    <w:tmpl w:val="A26A41CC"/>
    <w:lvl w:ilvl="0" w:tplc="8514F62A">
      <w:start w:val="1"/>
      <w:numFmt w:val="bullet"/>
      <w:lvlText w:val=""/>
      <w:lvlJc w:val="left"/>
      <w:pPr>
        <w:tabs>
          <w:tab w:val="num" w:pos="1080"/>
        </w:tabs>
        <w:ind w:left="1080" w:hanging="360"/>
      </w:pPr>
      <w:rPr>
        <w:rFonts w:ascii="Wingdings" w:hAnsi="Wingdings" w:hint="default"/>
      </w:rPr>
    </w:lvl>
    <w:lvl w:ilvl="1" w:tplc="5D04D566" w:tentative="1">
      <w:start w:val="1"/>
      <w:numFmt w:val="bullet"/>
      <w:lvlText w:val=""/>
      <w:lvlJc w:val="left"/>
      <w:pPr>
        <w:tabs>
          <w:tab w:val="num" w:pos="1800"/>
        </w:tabs>
        <w:ind w:left="1800" w:hanging="360"/>
      </w:pPr>
      <w:rPr>
        <w:rFonts w:ascii="Wingdings" w:hAnsi="Wingdings" w:hint="default"/>
      </w:rPr>
    </w:lvl>
    <w:lvl w:ilvl="2" w:tplc="29E2181A" w:tentative="1">
      <w:start w:val="1"/>
      <w:numFmt w:val="bullet"/>
      <w:lvlText w:val=""/>
      <w:lvlJc w:val="left"/>
      <w:pPr>
        <w:tabs>
          <w:tab w:val="num" w:pos="2520"/>
        </w:tabs>
        <w:ind w:left="2520" w:hanging="360"/>
      </w:pPr>
      <w:rPr>
        <w:rFonts w:ascii="Wingdings" w:hAnsi="Wingdings" w:hint="default"/>
      </w:rPr>
    </w:lvl>
    <w:lvl w:ilvl="3" w:tplc="12D6DBA2" w:tentative="1">
      <w:start w:val="1"/>
      <w:numFmt w:val="bullet"/>
      <w:lvlText w:val=""/>
      <w:lvlJc w:val="left"/>
      <w:pPr>
        <w:tabs>
          <w:tab w:val="num" w:pos="3240"/>
        </w:tabs>
        <w:ind w:left="3240" w:hanging="360"/>
      </w:pPr>
      <w:rPr>
        <w:rFonts w:ascii="Wingdings" w:hAnsi="Wingdings" w:hint="default"/>
      </w:rPr>
    </w:lvl>
    <w:lvl w:ilvl="4" w:tplc="5718C9BC" w:tentative="1">
      <w:start w:val="1"/>
      <w:numFmt w:val="bullet"/>
      <w:lvlText w:val=""/>
      <w:lvlJc w:val="left"/>
      <w:pPr>
        <w:tabs>
          <w:tab w:val="num" w:pos="3960"/>
        </w:tabs>
        <w:ind w:left="3960" w:hanging="360"/>
      </w:pPr>
      <w:rPr>
        <w:rFonts w:ascii="Wingdings" w:hAnsi="Wingdings" w:hint="default"/>
      </w:rPr>
    </w:lvl>
    <w:lvl w:ilvl="5" w:tplc="D73A7948" w:tentative="1">
      <w:start w:val="1"/>
      <w:numFmt w:val="bullet"/>
      <w:lvlText w:val=""/>
      <w:lvlJc w:val="left"/>
      <w:pPr>
        <w:tabs>
          <w:tab w:val="num" w:pos="4680"/>
        </w:tabs>
        <w:ind w:left="4680" w:hanging="360"/>
      </w:pPr>
      <w:rPr>
        <w:rFonts w:ascii="Wingdings" w:hAnsi="Wingdings" w:hint="default"/>
      </w:rPr>
    </w:lvl>
    <w:lvl w:ilvl="6" w:tplc="4E5C6F28" w:tentative="1">
      <w:start w:val="1"/>
      <w:numFmt w:val="bullet"/>
      <w:lvlText w:val=""/>
      <w:lvlJc w:val="left"/>
      <w:pPr>
        <w:tabs>
          <w:tab w:val="num" w:pos="5400"/>
        </w:tabs>
        <w:ind w:left="5400" w:hanging="360"/>
      </w:pPr>
      <w:rPr>
        <w:rFonts w:ascii="Wingdings" w:hAnsi="Wingdings" w:hint="default"/>
      </w:rPr>
    </w:lvl>
    <w:lvl w:ilvl="7" w:tplc="C5BC6E26" w:tentative="1">
      <w:start w:val="1"/>
      <w:numFmt w:val="bullet"/>
      <w:lvlText w:val=""/>
      <w:lvlJc w:val="left"/>
      <w:pPr>
        <w:tabs>
          <w:tab w:val="num" w:pos="6120"/>
        </w:tabs>
        <w:ind w:left="6120" w:hanging="360"/>
      </w:pPr>
      <w:rPr>
        <w:rFonts w:ascii="Wingdings" w:hAnsi="Wingdings" w:hint="default"/>
      </w:rPr>
    </w:lvl>
    <w:lvl w:ilvl="8" w:tplc="4A7003EC" w:tentative="1">
      <w:start w:val="1"/>
      <w:numFmt w:val="bullet"/>
      <w:lvlText w:val=""/>
      <w:lvlJc w:val="left"/>
      <w:pPr>
        <w:tabs>
          <w:tab w:val="num" w:pos="6840"/>
        </w:tabs>
        <w:ind w:left="6840" w:hanging="360"/>
      </w:pPr>
      <w:rPr>
        <w:rFonts w:ascii="Wingdings" w:hAnsi="Wingdings" w:hint="default"/>
      </w:rPr>
    </w:lvl>
  </w:abstractNum>
  <w:abstractNum w:abstractNumId="2">
    <w:nsid w:val="1AFD1BDF"/>
    <w:multiLevelType w:val="hybridMultilevel"/>
    <w:tmpl w:val="EFEE38E0"/>
    <w:lvl w:ilvl="0" w:tplc="4D2E3FF8">
      <w:start w:val="1"/>
      <w:numFmt w:val="bullet"/>
      <w:lvlText w:val=""/>
      <w:lvlJc w:val="left"/>
      <w:pPr>
        <w:tabs>
          <w:tab w:val="num" w:pos="720"/>
        </w:tabs>
        <w:ind w:left="720" w:hanging="360"/>
      </w:pPr>
      <w:rPr>
        <w:rFonts w:ascii="Wingdings" w:hAnsi="Wingdings" w:hint="default"/>
      </w:rPr>
    </w:lvl>
    <w:lvl w:ilvl="1" w:tplc="938246CA" w:tentative="1">
      <w:start w:val="1"/>
      <w:numFmt w:val="bullet"/>
      <w:lvlText w:val=""/>
      <w:lvlJc w:val="left"/>
      <w:pPr>
        <w:tabs>
          <w:tab w:val="num" w:pos="1440"/>
        </w:tabs>
        <w:ind w:left="1440" w:hanging="360"/>
      </w:pPr>
      <w:rPr>
        <w:rFonts w:ascii="Wingdings" w:hAnsi="Wingdings" w:hint="default"/>
      </w:rPr>
    </w:lvl>
    <w:lvl w:ilvl="2" w:tplc="166CAEBA" w:tentative="1">
      <w:start w:val="1"/>
      <w:numFmt w:val="bullet"/>
      <w:lvlText w:val=""/>
      <w:lvlJc w:val="left"/>
      <w:pPr>
        <w:tabs>
          <w:tab w:val="num" w:pos="2160"/>
        </w:tabs>
        <w:ind w:left="2160" w:hanging="360"/>
      </w:pPr>
      <w:rPr>
        <w:rFonts w:ascii="Wingdings" w:hAnsi="Wingdings" w:hint="default"/>
      </w:rPr>
    </w:lvl>
    <w:lvl w:ilvl="3" w:tplc="97C25716" w:tentative="1">
      <w:start w:val="1"/>
      <w:numFmt w:val="bullet"/>
      <w:lvlText w:val=""/>
      <w:lvlJc w:val="left"/>
      <w:pPr>
        <w:tabs>
          <w:tab w:val="num" w:pos="2880"/>
        </w:tabs>
        <w:ind w:left="2880" w:hanging="360"/>
      </w:pPr>
      <w:rPr>
        <w:rFonts w:ascii="Wingdings" w:hAnsi="Wingdings" w:hint="default"/>
      </w:rPr>
    </w:lvl>
    <w:lvl w:ilvl="4" w:tplc="5588D6F2" w:tentative="1">
      <w:start w:val="1"/>
      <w:numFmt w:val="bullet"/>
      <w:lvlText w:val=""/>
      <w:lvlJc w:val="left"/>
      <w:pPr>
        <w:tabs>
          <w:tab w:val="num" w:pos="3600"/>
        </w:tabs>
        <w:ind w:left="3600" w:hanging="360"/>
      </w:pPr>
      <w:rPr>
        <w:rFonts w:ascii="Wingdings" w:hAnsi="Wingdings" w:hint="default"/>
      </w:rPr>
    </w:lvl>
    <w:lvl w:ilvl="5" w:tplc="A3465D1C" w:tentative="1">
      <w:start w:val="1"/>
      <w:numFmt w:val="bullet"/>
      <w:lvlText w:val=""/>
      <w:lvlJc w:val="left"/>
      <w:pPr>
        <w:tabs>
          <w:tab w:val="num" w:pos="4320"/>
        </w:tabs>
        <w:ind w:left="4320" w:hanging="360"/>
      </w:pPr>
      <w:rPr>
        <w:rFonts w:ascii="Wingdings" w:hAnsi="Wingdings" w:hint="default"/>
      </w:rPr>
    </w:lvl>
    <w:lvl w:ilvl="6" w:tplc="855805A6" w:tentative="1">
      <w:start w:val="1"/>
      <w:numFmt w:val="bullet"/>
      <w:lvlText w:val=""/>
      <w:lvlJc w:val="left"/>
      <w:pPr>
        <w:tabs>
          <w:tab w:val="num" w:pos="5040"/>
        </w:tabs>
        <w:ind w:left="5040" w:hanging="360"/>
      </w:pPr>
      <w:rPr>
        <w:rFonts w:ascii="Wingdings" w:hAnsi="Wingdings" w:hint="default"/>
      </w:rPr>
    </w:lvl>
    <w:lvl w:ilvl="7" w:tplc="2398E9DC" w:tentative="1">
      <w:start w:val="1"/>
      <w:numFmt w:val="bullet"/>
      <w:lvlText w:val=""/>
      <w:lvlJc w:val="left"/>
      <w:pPr>
        <w:tabs>
          <w:tab w:val="num" w:pos="5760"/>
        </w:tabs>
        <w:ind w:left="5760" w:hanging="360"/>
      </w:pPr>
      <w:rPr>
        <w:rFonts w:ascii="Wingdings" w:hAnsi="Wingdings" w:hint="default"/>
      </w:rPr>
    </w:lvl>
    <w:lvl w:ilvl="8" w:tplc="4372FCDE" w:tentative="1">
      <w:start w:val="1"/>
      <w:numFmt w:val="bullet"/>
      <w:lvlText w:val=""/>
      <w:lvlJc w:val="left"/>
      <w:pPr>
        <w:tabs>
          <w:tab w:val="num" w:pos="6480"/>
        </w:tabs>
        <w:ind w:left="6480" w:hanging="360"/>
      </w:pPr>
      <w:rPr>
        <w:rFonts w:ascii="Wingdings" w:hAnsi="Wingdings" w:hint="default"/>
      </w:rPr>
    </w:lvl>
  </w:abstractNum>
  <w:abstractNum w:abstractNumId="3">
    <w:nsid w:val="242B360A"/>
    <w:multiLevelType w:val="hybridMultilevel"/>
    <w:tmpl w:val="DA78EE18"/>
    <w:lvl w:ilvl="0" w:tplc="9618AED8">
      <w:start w:val="1"/>
      <w:numFmt w:val="bullet"/>
      <w:lvlText w:val=""/>
      <w:lvlJc w:val="left"/>
      <w:pPr>
        <w:tabs>
          <w:tab w:val="num" w:pos="720"/>
        </w:tabs>
        <w:ind w:left="720" w:hanging="360"/>
      </w:pPr>
      <w:rPr>
        <w:rFonts w:ascii="Wingdings" w:hAnsi="Wingdings" w:hint="default"/>
      </w:rPr>
    </w:lvl>
    <w:lvl w:ilvl="1" w:tplc="0DFCDB8A" w:tentative="1">
      <w:start w:val="1"/>
      <w:numFmt w:val="bullet"/>
      <w:lvlText w:val=""/>
      <w:lvlJc w:val="left"/>
      <w:pPr>
        <w:tabs>
          <w:tab w:val="num" w:pos="1440"/>
        </w:tabs>
        <w:ind w:left="1440" w:hanging="360"/>
      </w:pPr>
      <w:rPr>
        <w:rFonts w:ascii="Wingdings" w:hAnsi="Wingdings" w:hint="default"/>
      </w:rPr>
    </w:lvl>
    <w:lvl w:ilvl="2" w:tplc="CFA0AA2E" w:tentative="1">
      <w:start w:val="1"/>
      <w:numFmt w:val="bullet"/>
      <w:lvlText w:val=""/>
      <w:lvlJc w:val="left"/>
      <w:pPr>
        <w:tabs>
          <w:tab w:val="num" w:pos="2160"/>
        </w:tabs>
        <w:ind w:left="2160" w:hanging="360"/>
      </w:pPr>
      <w:rPr>
        <w:rFonts w:ascii="Wingdings" w:hAnsi="Wingdings" w:hint="default"/>
      </w:rPr>
    </w:lvl>
    <w:lvl w:ilvl="3" w:tplc="3E524D3A" w:tentative="1">
      <w:start w:val="1"/>
      <w:numFmt w:val="bullet"/>
      <w:lvlText w:val=""/>
      <w:lvlJc w:val="left"/>
      <w:pPr>
        <w:tabs>
          <w:tab w:val="num" w:pos="2880"/>
        </w:tabs>
        <w:ind w:left="2880" w:hanging="360"/>
      </w:pPr>
      <w:rPr>
        <w:rFonts w:ascii="Wingdings" w:hAnsi="Wingdings" w:hint="default"/>
      </w:rPr>
    </w:lvl>
    <w:lvl w:ilvl="4" w:tplc="056C59C0" w:tentative="1">
      <w:start w:val="1"/>
      <w:numFmt w:val="bullet"/>
      <w:lvlText w:val=""/>
      <w:lvlJc w:val="left"/>
      <w:pPr>
        <w:tabs>
          <w:tab w:val="num" w:pos="3600"/>
        </w:tabs>
        <w:ind w:left="3600" w:hanging="360"/>
      </w:pPr>
      <w:rPr>
        <w:rFonts w:ascii="Wingdings" w:hAnsi="Wingdings" w:hint="default"/>
      </w:rPr>
    </w:lvl>
    <w:lvl w:ilvl="5" w:tplc="825ED7BA" w:tentative="1">
      <w:start w:val="1"/>
      <w:numFmt w:val="bullet"/>
      <w:lvlText w:val=""/>
      <w:lvlJc w:val="left"/>
      <w:pPr>
        <w:tabs>
          <w:tab w:val="num" w:pos="4320"/>
        </w:tabs>
        <w:ind w:left="4320" w:hanging="360"/>
      </w:pPr>
      <w:rPr>
        <w:rFonts w:ascii="Wingdings" w:hAnsi="Wingdings" w:hint="default"/>
      </w:rPr>
    </w:lvl>
    <w:lvl w:ilvl="6" w:tplc="AE36E444" w:tentative="1">
      <w:start w:val="1"/>
      <w:numFmt w:val="bullet"/>
      <w:lvlText w:val=""/>
      <w:lvlJc w:val="left"/>
      <w:pPr>
        <w:tabs>
          <w:tab w:val="num" w:pos="5040"/>
        </w:tabs>
        <w:ind w:left="5040" w:hanging="360"/>
      </w:pPr>
      <w:rPr>
        <w:rFonts w:ascii="Wingdings" w:hAnsi="Wingdings" w:hint="default"/>
      </w:rPr>
    </w:lvl>
    <w:lvl w:ilvl="7" w:tplc="A7EEC988" w:tentative="1">
      <w:start w:val="1"/>
      <w:numFmt w:val="bullet"/>
      <w:lvlText w:val=""/>
      <w:lvlJc w:val="left"/>
      <w:pPr>
        <w:tabs>
          <w:tab w:val="num" w:pos="5760"/>
        </w:tabs>
        <w:ind w:left="5760" w:hanging="360"/>
      </w:pPr>
      <w:rPr>
        <w:rFonts w:ascii="Wingdings" w:hAnsi="Wingdings" w:hint="default"/>
      </w:rPr>
    </w:lvl>
    <w:lvl w:ilvl="8" w:tplc="1A766522" w:tentative="1">
      <w:start w:val="1"/>
      <w:numFmt w:val="bullet"/>
      <w:lvlText w:val=""/>
      <w:lvlJc w:val="left"/>
      <w:pPr>
        <w:tabs>
          <w:tab w:val="num" w:pos="6480"/>
        </w:tabs>
        <w:ind w:left="6480" w:hanging="360"/>
      </w:pPr>
      <w:rPr>
        <w:rFonts w:ascii="Wingdings" w:hAnsi="Wingdings" w:hint="default"/>
      </w:rPr>
    </w:lvl>
  </w:abstractNum>
  <w:abstractNum w:abstractNumId="4">
    <w:nsid w:val="2EBA498A"/>
    <w:multiLevelType w:val="hybridMultilevel"/>
    <w:tmpl w:val="CBA282F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40B75DB1"/>
    <w:multiLevelType w:val="hybridMultilevel"/>
    <w:tmpl w:val="82625D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BE97464"/>
    <w:multiLevelType w:val="hybridMultilevel"/>
    <w:tmpl w:val="F888020C"/>
    <w:lvl w:ilvl="0" w:tplc="DE9C8F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354858"/>
    <w:multiLevelType w:val="hybridMultilevel"/>
    <w:tmpl w:val="826E4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3D5AEB"/>
    <w:multiLevelType w:val="hybridMultilevel"/>
    <w:tmpl w:val="812E4ADE"/>
    <w:lvl w:ilvl="0" w:tplc="78A4BC22">
      <w:start w:val="1"/>
      <w:numFmt w:val="bullet"/>
      <w:lvlText w:val=""/>
      <w:lvlJc w:val="left"/>
      <w:pPr>
        <w:tabs>
          <w:tab w:val="num" w:pos="720"/>
        </w:tabs>
        <w:ind w:left="720" w:hanging="360"/>
      </w:pPr>
      <w:rPr>
        <w:rFonts w:ascii="Wingdings" w:hAnsi="Wingdings" w:hint="default"/>
      </w:rPr>
    </w:lvl>
    <w:lvl w:ilvl="1" w:tplc="1904F346" w:tentative="1">
      <w:start w:val="1"/>
      <w:numFmt w:val="bullet"/>
      <w:lvlText w:val=""/>
      <w:lvlJc w:val="left"/>
      <w:pPr>
        <w:tabs>
          <w:tab w:val="num" w:pos="1440"/>
        </w:tabs>
        <w:ind w:left="1440" w:hanging="360"/>
      </w:pPr>
      <w:rPr>
        <w:rFonts w:ascii="Wingdings" w:hAnsi="Wingdings" w:hint="default"/>
      </w:rPr>
    </w:lvl>
    <w:lvl w:ilvl="2" w:tplc="8346BE7C" w:tentative="1">
      <w:start w:val="1"/>
      <w:numFmt w:val="bullet"/>
      <w:lvlText w:val=""/>
      <w:lvlJc w:val="left"/>
      <w:pPr>
        <w:tabs>
          <w:tab w:val="num" w:pos="2160"/>
        </w:tabs>
        <w:ind w:left="2160" w:hanging="360"/>
      </w:pPr>
      <w:rPr>
        <w:rFonts w:ascii="Wingdings" w:hAnsi="Wingdings" w:hint="default"/>
      </w:rPr>
    </w:lvl>
    <w:lvl w:ilvl="3" w:tplc="339A04E0" w:tentative="1">
      <w:start w:val="1"/>
      <w:numFmt w:val="bullet"/>
      <w:lvlText w:val=""/>
      <w:lvlJc w:val="left"/>
      <w:pPr>
        <w:tabs>
          <w:tab w:val="num" w:pos="2880"/>
        </w:tabs>
        <w:ind w:left="2880" w:hanging="360"/>
      </w:pPr>
      <w:rPr>
        <w:rFonts w:ascii="Wingdings" w:hAnsi="Wingdings" w:hint="default"/>
      </w:rPr>
    </w:lvl>
    <w:lvl w:ilvl="4" w:tplc="67E4FAC8" w:tentative="1">
      <w:start w:val="1"/>
      <w:numFmt w:val="bullet"/>
      <w:lvlText w:val=""/>
      <w:lvlJc w:val="left"/>
      <w:pPr>
        <w:tabs>
          <w:tab w:val="num" w:pos="3600"/>
        </w:tabs>
        <w:ind w:left="3600" w:hanging="360"/>
      </w:pPr>
      <w:rPr>
        <w:rFonts w:ascii="Wingdings" w:hAnsi="Wingdings" w:hint="default"/>
      </w:rPr>
    </w:lvl>
    <w:lvl w:ilvl="5" w:tplc="59046B64" w:tentative="1">
      <w:start w:val="1"/>
      <w:numFmt w:val="bullet"/>
      <w:lvlText w:val=""/>
      <w:lvlJc w:val="left"/>
      <w:pPr>
        <w:tabs>
          <w:tab w:val="num" w:pos="4320"/>
        </w:tabs>
        <w:ind w:left="4320" w:hanging="360"/>
      </w:pPr>
      <w:rPr>
        <w:rFonts w:ascii="Wingdings" w:hAnsi="Wingdings" w:hint="default"/>
      </w:rPr>
    </w:lvl>
    <w:lvl w:ilvl="6" w:tplc="472CC39C" w:tentative="1">
      <w:start w:val="1"/>
      <w:numFmt w:val="bullet"/>
      <w:lvlText w:val=""/>
      <w:lvlJc w:val="left"/>
      <w:pPr>
        <w:tabs>
          <w:tab w:val="num" w:pos="5040"/>
        </w:tabs>
        <w:ind w:left="5040" w:hanging="360"/>
      </w:pPr>
      <w:rPr>
        <w:rFonts w:ascii="Wingdings" w:hAnsi="Wingdings" w:hint="default"/>
      </w:rPr>
    </w:lvl>
    <w:lvl w:ilvl="7" w:tplc="B38A342E" w:tentative="1">
      <w:start w:val="1"/>
      <w:numFmt w:val="bullet"/>
      <w:lvlText w:val=""/>
      <w:lvlJc w:val="left"/>
      <w:pPr>
        <w:tabs>
          <w:tab w:val="num" w:pos="5760"/>
        </w:tabs>
        <w:ind w:left="5760" w:hanging="360"/>
      </w:pPr>
      <w:rPr>
        <w:rFonts w:ascii="Wingdings" w:hAnsi="Wingdings" w:hint="default"/>
      </w:rPr>
    </w:lvl>
    <w:lvl w:ilvl="8" w:tplc="485C54CA" w:tentative="1">
      <w:start w:val="1"/>
      <w:numFmt w:val="bullet"/>
      <w:lvlText w:val=""/>
      <w:lvlJc w:val="left"/>
      <w:pPr>
        <w:tabs>
          <w:tab w:val="num" w:pos="6480"/>
        </w:tabs>
        <w:ind w:left="6480" w:hanging="360"/>
      </w:pPr>
      <w:rPr>
        <w:rFonts w:ascii="Wingdings" w:hAnsi="Wingdings" w:hint="default"/>
      </w:rPr>
    </w:lvl>
  </w:abstractNum>
  <w:abstractNum w:abstractNumId="9">
    <w:nsid w:val="5D2A6357"/>
    <w:multiLevelType w:val="hybridMultilevel"/>
    <w:tmpl w:val="A1860B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DDA39D1"/>
    <w:multiLevelType w:val="hybridMultilevel"/>
    <w:tmpl w:val="81064B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A57699C"/>
    <w:multiLevelType w:val="hybridMultilevel"/>
    <w:tmpl w:val="9B2C5696"/>
    <w:lvl w:ilvl="0" w:tplc="1F8CA896">
      <w:start w:val="1"/>
      <w:numFmt w:val="bullet"/>
      <w:lvlText w:val=""/>
      <w:lvlJc w:val="left"/>
      <w:pPr>
        <w:tabs>
          <w:tab w:val="num" w:pos="720"/>
        </w:tabs>
        <w:ind w:left="720" w:hanging="360"/>
      </w:pPr>
      <w:rPr>
        <w:rFonts w:ascii="Wingdings" w:hAnsi="Wingdings" w:hint="default"/>
      </w:rPr>
    </w:lvl>
    <w:lvl w:ilvl="1" w:tplc="2928685C" w:tentative="1">
      <w:start w:val="1"/>
      <w:numFmt w:val="bullet"/>
      <w:lvlText w:val=""/>
      <w:lvlJc w:val="left"/>
      <w:pPr>
        <w:tabs>
          <w:tab w:val="num" w:pos="1440"/>
        </w:tabs>
        <w:ind w:left="1440" w:hanging="360"/>
      </w:pPr>
      <w:rPr>
        <w:rFonts w:ascii="Wingdings" w:hAnsi="Wingdings" w:hint="default"/>
      </w:rPr>
    </w:lvl>
    <w:lvl w:ilvl="2" w:tplc="F3BAE3F6" w:tentative="1">
      <w:start w:val="1"/>
      <w:numFmt w:val="bullet"/>
      <w:lvlText w:val=""/>
      <w:lvlJc w:val="left"/>
      <w:pPr>
        <w:tabs>
          <w:tab w:val="num" w:pos="2160"/>
        </w:tabs>
        <w:ind w:left="2160" w:hanging="360"/>
      </w:pPr>
      <w:rPr>
        <w:rFonts w:ascii="Wingdings" w:hAnsi="Wingdings" w:hint="default"/>
      </w:rPr>
    </w:lvl>
    <w:lvl w:ilvl="3" w:tplc="FE86128C" w:tentative="1">
      <w:start w:val="1"/>
      <w:numFmt w:val="bullet"/>
      <w:lvlText w:val=""/>
      <w:lvlJc w:val="left"/>
      <w:pPr>
        <w:tabs>
          <w:tab w:val="num" w:pos="2880"/>
        </w:tabs>
        <w:ind w:left="2880" w:hanging="360"/>
      </w:pPr>
      <w:rPr>
        <w:rFonts w:ascii="Wingdings" w:hAnsi="Wingdings" w:hint="default"/>
      </w:rPr>
    </w:lvl>
    <w:lvl w:ilvl="4" w:tplc="D0B65FF6" w:tentative="1">
      <w:start w:val="1"/>
      <w:numFmt w:val="bullet"/>
      <w:lvlText w:val=""/>
      <w:lvlJc w:val="left"/>
      <w:pPr>
        <w:tabs>
          <w:tab w:val="num" w:pos="3600"/>
        </w:tabs>
        <w:ind w:left="3600" w:hanging="360"/>
      </w:pPr>
      <w:rPr>
        <w:rFonts w:ascii="Wingdings" w:hAnsi="Wingdings" w:hint="default"/>
      </w:rPr>
    </w:lvl>
    <w:lvl w:ilvl="5" w:tplc="D474F46E" w:tentative="1">
      <w:start w:val="1"/>
      <w:numFmt w:val="bullet"/>
      <w:lvlText w:val=""/>
      <w:lvlJc w:val="left"/>
      <w:pPr>
        <w:tabs>
          <w:tab w:val="num" w:pos="4320"/>
        </w:tabs>
        <w:ind w:left="4320" w:hanging="360"/>
      </w:pPr>
      <w:rPr>
        <w:rFonts w:ascii="Wingdings" w:hAnsi="Wingdings" w:hint="default"/>
      </w:rPr>
    </w:lvl>
    <w:lvl w:ilvl="6" w:tplc="CF6E5606" w:tentative="1">
      <w:start w:val="1"/>
      <w:numFmt w:val="bullet"/>
      <w:lvlText w:val=""/>
      <w:lvlJc w:val="left"/>
      <w:pPr>
        <w:tabs>
          <w:tab w:val="num" w:pos="5040"/>
        </w:tabs>
        <w:ind w:left="5040" w:hanging="360"/>
      </w:pPr>
      <w:rPr>
        <w:rFonts w:ascii="Wingdings" w:hAnsi="Wingdings" w:hint="default"/>
      </w:rPr>
    </w:lvl>
    <w:lvl w:ilvl="7" w:tplc="7F7896AA" w:tentative="1">
      <w:start w:val="1"/>
      <w:numFmt w:val="bullet"/>
      <w:lvlText w:val=""/>
      <w:lvlJc w:val="left"/>
      <w:pPr>
        <w:tabs>
          <w:tab w:val="num" w:pos="5760"/>
        </w:tabs>
        <w:ind w:left="5760" w:hanging="360"/>
      </w:pPr>
      <w:rPr>
        <w:rFonts w:ascii="Wingdings" w:hAnsi="Wingdings" w:hint="default"/>
      </w:rPr>
    </w:lvl>
    <w:lvl w:ilvl="8" w:tplc="8EFCE5D4" w:tentative="1">
      <w:start w:val="1"/>
      <w:numFmt w:val="bullet"/>
      <w:lvlText w:val=""/>
      <w:lvlJc w:val="left"/>
      <w:pPr>
        <w:tabs>
          <w:tab w:val="num" w:pos="6480"/>
        </w:tabs>
        <w:ind w:left="6480" w:hanging="360"/>
      </w:pPr>
      <w:rPr>
        <w:rFonts w:ascii="Wingdings" w:hAnsi="Wingdings" w:hint="default"/>
      </w:rPr>
    </w:lvl>
  </w:abstractNum>
  <w:abstractNum w:abstractNumId="12">
    <w:nsid w:val="731A052C"/>
    <w:multiLevelType w:val="hybridMultilevel"/>
    <w:tmpl w:val="2444B37A"/>
    <w:lvl w:ilvl="0" w:tplc="E312E6BC">
      <w:start w:val="1"/>
      <w:numFmt w:val="bullet"/>
      <w:lvlText w:val=""/>
      <w:lvlJc w:val="left"/>
      <w:pPr>
        <w:tabs>
          <w:tab w:val="num" w:pos="720"/>
        </w:tabs>
        <w:ind w:left="720" w:hanging="360"/>
      </w:pPr>
      <w:rPr>
        <w:rFonts w:ascii="Wingdings" w:hAnsi="Wingdings" w:hint="default"/>
      </w:rPr>
    </w:lvl>
    <w:lvl w:ilvl="1" w:tplc="7BDC251A" w:tentative="1">
      <w:start w:val="1"/>
      <w:numFmt w:val="bullet"/>
      <w:lvlText w:val=""/>
      <w:lvlJc w:val="left"/>
      <w:pPr>
        <w:tabs>
          <w:tab w:val="num" w:pos="1440"/>
        </w:tabs>
        <w:ind w:left="1440" w:hanging="360"/>
      </w:pPr>
      <w:rPr>
        <w:rFonts w:ascii="Wingdings" w:hAnsi="Wingdings" w:hint="default"/>
      </w:rPr>
    </w:lvl>
    <w:lvl w:ilvl="2" w:tplc="C6066D04" w:tentative="1">
      <w:start w:val="1"/>
      <w:numFmt w:val="bullet"/>
      <w:lvlText w:val=""/>
      <w:lvlJc w:val="left"/>
      <w:pPr>
        <w:tabs>
          <w:tab w:val="num" w:pos="2160"/>
        </w:tabs>
        <w:ind w:left="2160" w:hanging="360"/>
      </w:pPr>
      <w:rPr>
        <w:rFonts w:ascii="Wingdings" w:hAnsi="Wingdings" w:hint="default"/>
      </w:rPr>
    </w:lvl>
    <w:lvl w:ilvl="3" w:tplc="AB3C8B34" w:tentative="1">
      <w:start w:val="1"/>
      <w:numFmt w:val="bullet"/>
      <w:lvlText w:val=""/>
      <w:lvlJc w:val="left"/>
      <w:pPr>
        <w:tabs>
          <w:tab w:val="num" w:pos="2880"/>
        </w:tabs>
        <w:ind w:left="2880" w:hanging="360"/>
      </w:pPr>
      <w:rPr>
        <w:rFonts w:ascii="Wingdings" w:hAnsi="Wingdings" w:hint="default"/>
      </w:rPr>
    </w:lvl>
    <w:lvl w:ilvl="4" w:tplc="E7A42A48" w:tentative="1">
      <w:start w:val="1"/>
      <w:numFmt w:val="bullet"/>
      <w:lvlText w:val=""/>
      <w:lvlJc w:val="left"/>
      <w:pPr>
        <w:tabs>
          <w:tab w:val="num" w:pos="3600"/>
        </w:tabs>
        <w:ind w:left="3600" w:hanging="360"/>
      </w:pPr>
      <w:rPr>
        <w:rFonts w:ascii="Wingdings" w:hAnsi="Wingdings" w:hint="default"/>
      </w:rPr>
    </w:lvl>
    <w:lvl w:ilvl="5" w:tplc="5A3ADF78" w:tentative="1">
      <w:start w:val="1"/>
      <w:numFmt w:val="bullet"/>
      <w:lvlText w:val=""/>
      <w:lvlJc w:val="left"/>
      <w:pPr>
        <w:tabs>
          <w:tab w:val="num" w:pos="4320"/>
        </w:tabs>
        <w:ind w:left="4320" w:hanging="360"/>
      </w:pPr>
      <w:rPr>
        <w:rFonts w:ascii="Wingdings" w:hAnsi="Wingdings" w:hint="default"/>
      </w:rPr>
    </w:lvl>
    <w:lvl w:ilvl="6" w:tplc="A23A0F44" w:tentative="1">
      <w:start w:val="1"/>
      <w:numFmt w:val="bullet"/>
      <w:lvlText w:val=""/>
      <w:lvlJc w:val="left"/>
      <w:pPr>
        <w:tabs>
          <w:tab w:val="num" w:pos="5040"/>
        </w:tabs>
        <w:ind w:left="5040" w:hanging="360"/>
      </w:pPr>
      <w:rPr>
        <w:rFonts w:ascii="Wingdings" w:hAnsi="Wingdings" w:hint="default"/>
      </w:rPr>
    </w:lvl>
    <w:lvl w:ilvl="7" w:tplc="1F00C65A" w:tentative="1">
      <w:start w:val="1"/>
      <w:numFmt w:val="bullet"/>
      <w:lvlText w:val=""/>
      <w:lvlJc w:val="left"/>
      <w:pPr>
        <w:tabs>
          <w:tab w:val="num" w:pos="5760"/>
        </w:tabs>
        <w:ind w:left="5760" w:hanging="360"/>
      </w:pPr>
      <w:rPr>
        <w:rFonts w:ascii="Wingdings" w:hAnsi="Wingdings" w:hint="default"/>
      </w:rPr>
    </w:lvl>
    <w:lvl w:ilvl="8" w:tplc="09183096" w:tentative="1">
      <w:start w:val="1"/>
      <w:numFmt w:val="bullet"/>
      <w:lvlText w:val=""/>
      <w:lvlJc w:val="left"/>
      <w:pPr>
        <w:tabs>
          <w:tab w:val="num" w:pos="6480"/>
        </w:tabs>
        <w:ind w:left="6480" w:hanging="360"/>
      </w:pPr>
      <w:rPr>
        <w:rFonts w:ascii="Wingdings" w:hAnsi="Wingdings" w:hint="default"/>
      </w:rPr>
    </w:lvl>
  </w:abstractNum>
  <w:abstractNum w:abstractNumId="13">
    <w:nsid w:val="77B76B05"/>
    <w:multiLevelType w:val="hybridMultilevel"/>
    <w:tmpl w:val="BD4C90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FE83FD1"/>
    <w:multiLevelType w:val="hybridMultilevel"/>
    <w:tmpl w:val="F3F82FFA"/>
    <w:lvl w:ilvl="0" w:tplc="333261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10"/>
  </w:num>
  <w:num w:numId="3">
    <w:abstractNumId w:val="6"/>
  </w:num>
  <w:num w:numId="4">
    <w:abstractNumId w:val="7"/>
  </w:num>
  <w:num w:numId="5">
    <w:abstractNumId w:val="14"/>
  </w:num>
  <w:num w:numId="6">
    <w:abstractNumId w:val="9"/>
  </w:num>
  <w:num w:numId="7">
    <w:abstractNumId w:val="2"/>
  </w:num>
  <w:num w:numId="8">
    <w:abstractNumId w:val="13"/>
  </w:num>
  <w:num w:numId="9">
    <w:abstractNumId w:val="1"/>
  </w:num>
  <w:num w:numId="10">
    <w:abstractNumId w:val="11"/>
  </w:num>
  <w:num w:numId="11">
    <w:abstractNumId w:val="8"/>
  </w:num>
  <w:num w:numId="12">
    <w:abstractNumId w:val="3"/>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17"/>
    <w:rsid w:val="00002D3E"/>
    <w:rsid w:val="00015D06"/>
    <w:rsid w:val="00025670"/>
    <w:rsid w:val="000356CE"/>
    <w:rsid w:val="000404DA"/>
    <w:rsid w:val="00054BF6"/>
    <w:rsid w:val="00061CD0"/>
    <w:rsid w:val="00070598"/>
    <w:rsid w:val="00082862"/>
    <w:rsid w:val="000848EB"/>
    <w:rsid w:val="00092701"/>
    <w:rsid w:val="0009497B"/>
    <w:rsid w:val="000B083F"/>
    <w:rsid w:val="000F02B0"/>
    <w:rsid w:val="000F2DE9"/>
    <w:rsid w:val="000F52F7"/>
    <w:rsid w:val="00124F23"/>
    <w:rsid w:val="00125621"/>
    <w:rsid w:val="001406C4"/>
    <w:rsid w:val="00151E77"/>
    <w:rsid w:val="00154EE6"/>
    <w:rsid w:val="00157ADB"/>
    <w:rsid w:val="00166F45"/>
    <w:rsid w:val="001D36EA"/>
    <w:rsid w:val="001F03E0"/>
    <w:rsid w:val="00202D0D"/>
    <w:rsid w:val="002150AF"/>
    <w:rsid w:val="00215CED"/>
    <w:rsid w:val="0021601D"/>
    <w:rsid w:val="00251357"/>
    <w:rsid w:val="002530DC"/>
    <w:rsid w:val="002A71BC"/>
    <w:rsid w:val="002D2C2C"/>
    <w:rsid w:val="002D6C6D"/>
    <w:rsid w:val="002E203E"/>
    <w:rsid w:val="003044B1"/>
    <w:rsid w:val="00324DC1"/>
    <w:rsid w:val="003459CF"/>
    <w:rsid w:val="0036554B"/>
    <w:rsid w:val="003914ED"/>
    <w:rsid w:val="00392247"/>
    <w:rsid w:val="003963A0"/>
    <w:rsid w:val="0039777C"/>
    <w:rsid w:val="003D7ED2"/>
    <w:rsid w:val="003F6C57"/>
    <w:rsid w:val="003F75E8"/>
    <w:rsid w:val="004162A4"/>
    <w:rsid w:val="004455A4"/>
    <w:rsid w:val="004678D6"/>
    <w:rsid w:val="00467AC7"/>
    <w:rsid w:val="004A292C"/>
    <w:rsid w:val="004A3777"/>
    <w:rsid w:val="004A3ED3"/>
    <w:rsid w:val="004B4928"/>
    <w:rsid w:val="004C4668"/>
    <w:rsid w:val="004E0DAC"/>
    <w:rsid w:val="004E27BB"/>
    <w:rsid w:val="004E2C73"/>
    <w:rsid w:val="005072FD"/>
    <w:rsid w:val="005144BA"/>
    <w:rsid w:val="00517EAC"/>
    <w:rsid w:val="00536285"/>
    <w:rsid w:val="00556E09"/>
    <w:rsid w:val="00573CDD"/>
    <w:rsid w:val="005A2671"/>
    <w:rsid w:val="005C1D3A"/>
    <w:rsid w:val="005D0364"/>
    <w:rsid w:val="0060555C"/>
    <w:rsid w:val="00606917"/>
    <w:rsid w:val="00614CDB"/>
    <w:rsid w:val="00614E88"/>
    <w:rsid w:val="00623DCE"/>
    <w:rsid w:val="00664A37"/>
    <w:rsid w:val="00673410"/>
    <w:rsid w:val="0068017B"/>
    <w:rsid w:val="006828FD"/>
    <w:rsid w:val="00683FEE"/>
    <w:rsid w:val="006861CA"/>
    <w:rsid w:val="006A12E6"/>
    <w:rsid w:val="007215FF"/>
    <w:rsid w:val="0072458F"/>
    <w:rsid w:val="00753F53"/>
    <w:rsid w:val="007609FF"/>
    <w:rsid w:val="00782911"/>
    <w:rsid w:val="00783D60"/>
    <w:rsid w:val="00784ACD"/>
    <w:rsid w:val="007C655F"/>
    <w:rsid w:val="007C6C01"/>
    <w:rsid w:val="007D618C"/>
    <w:rsid w:val="007F0F2D"/>
    <w:rsid w:val="00805351"/>
    <w:rsid w:val="008361AE"/>
    <w:rsid w:val="0088505D"/>
    <w:rsid w:val="008B3F2D"/>
    <w:rsid w:val="008D110F"/>
    <w:rsid w:val="008E5660"/>
    <w:rsid w:val="00920673"/>
    <w:rsid w:val="00926966"/>
    <w:rsid w:val="00972633"/>
    <w:rsid w:val="0097564D"/>
    <w:rsid w:val="009C17AD"/>
    <w:rsid w:val="009D65C9"/>
    <w:rsid w:val="009E5B3D"/>
    <w:rsid w:val="00A007BD"/>
    <w:rsid w:val="00A827D2"/>
    <w:rsid w:val="00A96F4F"/>
    <w:rsid w:val="00B200A6"/>
    <w:rsid w:val="00B56118"/>
    <w:rsid w:val="00B61D73"/>
    <w:rsid w:val="00BC0838"/>
    <w:rsid w:val="00C005F1"/>
    <w:rsid w:val="00C15D56"/>
    <w:rsid w:val="00C529D1"/>
    <w:rsid w:val="00C64903"/>
    <w:rsid w:val="00C87EA0"/>
    <w:rsid w:val="00C9343A"/>
    <w:rsid w:val="00CF1846"/>
    <w:rsid w:val="00D03CC4"/>
    <w:rsid w:val="00D07676"/>
    <w:rsid w:val="00D13908"/>
    <w:rsid w:val="00D43B1D"/>
    <w:rsid w:val="00D5027F"/>
    <w:rsid w:val="00D544B2"/>
    <w:rsid w:val="00D552D8"/>
    <w:rsid w:val="00D87191"/>
    <w:rsid w:val="00D949F7"/>
    <w:rsid w:val="00DC1B67"/>
    <w:rsid w:val="00DC471A"/>
    <w:rsid w:val="00DC72CE"/>
    <w:rsid w:val="00DE6DA6"/>
    <w:rsid w:val="00DF5F12"/>
    <w:rsid w:val="00E723CC"/>
    <w:rsid w:val="00EA262F"/>
    <w:rsid w:val="00ED5AA7"/>
    <w:rsid w:val="00EE0D56"/>
    <w:rsid w:val="00F006EA"/>
    <w:rsid w:val="00F03C66"/>
    <w:rsid w:val="00F04697"/>
    <w:rsid w:val="00F05A00"/>
    <w:rsid w:val="00F269CE"/>
    <w:rsid w:val="00F660F0"/>
    <w:rsid w:val="00F823B2"/>
    <w:rsid w:val="00F870D8"/>
    <w:rsid w:val="00FA7E03"/>
    <w:rsid w:val="00FB513E"/>
    <w:rsid w:val="00FD1ACB"/>
    <w:rsid w:val="00FE48A6"/>
    <w:rsid w:val="00FE598A"/>
    <w:rsid w:val="00FF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DEBE906-9C35-463B-8F0A-2F23438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irst paragraph"/>
    <w:qFormat/>
    <w:rsid w:val="00606917"/>
    <w:pPr>
      <w:spacing w:after="120"/>
      <w:jc w:val="both"/>
    </w:pPr>
    <w:rPr>
      <w:rFonts w:ascii="Cronos Pro" w:eastAsia="Times New Roman" w:hAnsi="Cronos Pro"/>
      <w:sz w:val="20"/>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072FD"/>
    <w:pPr>
      <w:spacing w:after="0"/>
    </w:pPr>
    <w:rPr>
      <w:szCs w:val="20"/>
    </w:rPr>
  </w:style>
  <w:style w:type="character" w:customStyle="1" w:styleId="FootnoteTextChar">
    <w:name w:val="Footnote Text Char"/>
    <w:basedOn w:val="DefaultParagraphFont"/>
    <w:link w:val="FootnoteText"/>
    <w:uiPriority w:val="99"/>
    <w:locked/>
    <w:rsid w:val="005072FD"/>
    <w:rPr>
      <w:rFonts w:ascii="Cronos Pro" w:hAnsi="Cronos Pro" w:cs="Times New Roman"/>
      <w:sz w:val="20"/>
      <w:szCs w:val="20"/>
      <w:lang w:eastAsia="sl-SI"/>
    </w:rPr>
  </w:style>
  <w:style w:type="character" w:styleId="FootnoteReference">
    <w:name w:val="footnote reference"/>
    <w:basedOn w:val="DefaultParagraphFont"/>
    <w:uiPriority w:val="99"/>
    <w:semiHidden/>
    <w:rsid w:val="005072FD"/>
    <w:rPr>
      <w:rFonts w:cs="Times New Roman"/>
      <w:vertAlign w:val="superscript"/>
    </w:rPr>
  </w:style>
  <w:style w:type="character" w:styleId="Hyperlink">
    <w:name w:val="Hyperlink"/>
    <w:basedOn w:val="DefaultParagraphFont"/>
    <w:uiPriority w:val="99"/>
    <w:rsid w:val="00C529D1"/>
    <w:rPr>
      <w:rFonts w:cs="Times New Roman"/>
      <w:color w:val="0000FF"/>
      <w:u w:val="single"/>
    </w:rPr>
  </w:style>
  <w:style w:type="paragraph" w:styleId="ListParagraph">
    <w:name w:val="List Paragraph"/>
    <w:basedOn w:val="Normal"/>
    <w:link w:val="ListParagraphChar"/>
    <w:uiPriority w:val="99"/>
    <w:qFormat/>
    <w:rsid w:val="007C655F"/>
    <w:pPr>
      <w:ind w:left="720"/>
      <w:contextualSpacing/>
    </w:pPr>
    <w:rPr>
      <w:rFonts w:eastAsia="Calibri"/>
      <w:sz w:val="24"/>
      <w:szCs w:val="20"/>
    </w:rPr>
  </w:style>
  <w:style w:type="paragraph" w:customStyle="1" w:styleId="Default">
    <w:name w:val="Default"/>
    <w:uiPriority w:val="99"/>
    <w:rsid w:val="007C655F"/>
    <w:pPr>
      <w:autoSpaceDE w:val="0"/>
      <w:autoSpaceDN w:val="0"/>
      <w:adjustRightInd w:val="0"/>
    </w:pPr>
    <w:rPr>
      <w:rFonts w:ascii="Times New Roman" w:hAnsi="Times New Roman"/>
      <w:color w:val="000000"/>
      <w:sz w:val="24"/>
      <w:szCs w:val="24"/>
    </w:rPr>
  </w:style>
  <w:style w:type="character" w:customStyle="1" w:styleId="ListParagraphChar">
    <w:name w:val="List Paragraph Char"/>
    <w:link w:val="ListParagraph"/>
    <w:uiPriority w:val="99"/>
    <w:locked/>
    <w:rsid w:val="005C1D3A"/>
    <w:rPr>
      <w:rFonts w:ascii="Cronos Pro" w:hAnsi="Cronos Pro"/>
      <w:sz w:val="24"/>
      <w:lang w:eastAsia="sl-SI"/>
    </w:rPr>
  </w:style>
  <w:style w:type="paragraph" w:styleId="BalloonText">
    <w:name w:val="Balloon Text"/>
    <w:basedOn w:val="Normal"/>
    <w:link w:val="BalloonTextChar"/>
    <w:uiPriority w:val="99"/>
    <w:semiHidden/>
    <w:rsid w:val="007215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5FF"/>
    <w:rPr>
      <w:rFonts w:ascii="Tahoma" w:hAnsi="Tahoma" w:cs="Tahoma"/>
      <w:sz w:val="16"/>
      <w:szCs w:val="16"/>
      <w:lang w:eastAsia="sl-SI"/>
    </w:rPr>
  </w:style>
  <w:style w:type="character" w:customStyle="1" w:styleId="alt-edited1">
    <w:name w:val="alt-edited1"/>
    <w:uiPriority w:val="99"/>
    <w:rsid w:val="00DC72CE"/>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69704">
      <w:marLeft w:val="0"/>
      <w:marRight w:val="0"/>
      <w:marTop w:val="0"/>
      <w:marBottom w:val="0"/>
      <w:divBdr>
        <w:top w:val="none" w:sz="0" w:space="0" w:color="auto"/>
        <w:left w:val="none" w:sz="0" w:space="0" w:color="auto"/>
        <w:bottom w:val="none" w:sz="0" w:space="0" w:color="auto"/>
        <w:right w:val="none" w:sz="0" w:space="0" w:color="auto"/>
      </w:divBdr>
    </w:div>
    <w:div w:id="702369706">
      <w:marLeft w:val="0"/>
      <w:marRight w:val="0"/>
      <w:marTop w:val="0"/>
      <w:marBottom w:val="0"/>
      <w:divBdr>
        <w:top w:val="none" w:sz="0" w:space="0" w:color="auto"/>
        <w:left w:val="none" w:sz="0" w:space="0" w:color="auto"/>
        <w:bottom w:val="none" w:sz="0" w:space="0" w:color="auto"/>
        <w:right w:val="none" w:sz="0" w:space="0" w:color="auto"/>
      </w:divBdr>
      <w:divsChild>
        <w:div w:id="702369705">
          <w:marLeft w:val="0"/>
          <w:marRight w:val="0"/>
          <w:marTop w:val="0"/>
          <w:marBottom w:val="0"/>
          <w:divBdr>
            <w:top w:val="none" w:sz="0" w:space="0" w:color="auto"/>
            <w:left w:val="none" w:sz="0" w:space="0" w:color="auto"/>
            <w:bottom w:val="none" w:sz="0" w:space="0" w:color="auto"/>
            <w:right w:val="none" w:sz="0" w:space="0" w:color="auto"/>
          </w:divBdr>
        </w:div>
      </w:divsChild>
    </w:div>
    <w:div w:id="702369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nbrm.gov" TargetMode="External"/><Relationship Id="rId18" Type="http://schemas.openxmlformats.org/officeDocument/2006/relationships/hyperlink" Target="http://www.economy.gov.mk"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economy.gov.mk" TargetMode="External"/><Relationship Id="rId17" Type="http://schemas.openxmlformats.org/officeDocument/2006/relationships/hyperlink" Target="http://www.economy.gov.mk" TargetMode="External"/><Relationship Id="rId2" Type="http://schemas.openxmlformats.org/officeDocument/2006/relationships/styles" Target="styles.xml"/><Relationship Id="rId16" Type="http://schemas.openxmlformats.org/officeDocument/2006/relationships/hyperlink" Target="http://www.economy.gov.m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rm.gov" TargetMode="External"/><Relationship Id="rId5" Type="http://schemas.openxmlformats.org/officeDocument/2006/relationships/footnotes" Target="footnotes.xml"/><Relationship Id="rId15" Type="http://schemas.openxmlformats.org/officeDocument/2006/relationships/hyperlink" Target="http://www.economy.gov.mk"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brm.gov" TargetMode="External"/><Relationship Id="rId14" Type="http://schemas.openxmlformats.org/officeDocument/2006/relationships/hyperlink" Target="http://www.economy.gov.m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lenan@eccf.ukim.edu.m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04236489669565E-2"/>
          <c:y val="4.3539292882507331E-2"/>
          <c:w val="0.85867319469681702"/>
          <c:h val="0.68174834028099462"/>
        </c:manualLayout>
      </c:layout>
      <c:barChart>
        <c:barDir val="col"/>
        <c:grouping val="clustered"/>
        <c:varyColors val="0"/>
        <c:ser>
          <c:idx val="0"/>
          <c:order val="0"/>
          <c:tx>
            <c:strRef>
              <c:f>Sheet2!$C$40</c:f>
              <c:strCache>
                <c:ptCount val="1"/>
                <c:pt idx="0">
                  <c:v>MNE</c:v>
                </c:pt>
              </c:strCache>
            </c:strRef>
          </c:tx>
          <c:spPr>
            <a:solidFill>
              <a:schemeClr val="accent3">
                <a:shade val="47000"/>
              </a:schemeClr>
            </a:solidFill>
            <a:ln>
              <a:noFill/>
            </a:ln>
            <a:effectLst/>
          </c:spPr>
          <c:invertIfNegative val="0"/>
          <c:cat>
            <c:numRef>
              <c:f>Sheet2!$D$39:$M$39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Sheet2!$D$40:$M$40</c:f>
              <c:numCache>
                <c:formatCode>General</c:formatCode>
                <c:ptCount val="10"/>
                <c:pt idx="0">
                  <c:v>403</c:v>
                </c:pt>
                <c:pt idx="1">
                  <c:v>496</c:v>
                </c:pt>
                <c:pt idx="2">
                  <c:v>683</c:v>
                </c:pt>
                <c:pt idx="3">
                  <c:v>656</c:v>
                </c:pt>
                <c:pt idx="4">
                  <c:v>1099</c:v>
                </c:pt>
                <c:pt idx="5">
                  <c:v>574</c:v>
                </c:pt>
                <c:pt idx="6">
                  <c:v>401</c:v>
                </c:pt>
                <c:pt idx="7">
                  <c:v>482</c:v>
                </c:pt>
                <c:pt idx="8">
                  <c:v>337</c:v>
                </c:pt>
                <c:pt idx="9">
                  <c:v>498</c:v>
                </c:pt>
              </c:numCache>
            </c:numRef>
          </c:val>
        </c:ser>
        <c:ser>
          <c:idx val="1"/>
          <c:order val="1"/>
          <c:tx>
            <c:strRef>
              <c:f>Sheet2!$C$41</c:f>
              <c:strCache>
                <c:ptCount val="1"/>
                <c:pt idx="0">
                  <c:v>ALB</c:v>
                </c:pt>
              </c:strCache>
            </c:strRef>
          </c:tx>
          <c:spPr>
            <a:solidFill>
              <a:schemeClr val="accent3">
                <a:shade val="65000"/>
              </a:schemeClr>
            </a:solidFill>
            <a:ln>
              <a:noFill/>
            </a:ln>
            <a:effectLst/>
          </c:spPr>
          <c:invertIfNegative val="0"/>
          <c:cat>
            <c:numRef>
              <c:f>Sheet2!$D$39:$M$39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Sheet2!$D$41:$M$41</c:f>
              <c:numCache>
                <c:formatCode>General</c:formatCode>
                <c:ptCount val="10"/>
                <c:pt idx="0">
                  <c:v>213</c:v>
                </c:pt>
                <c:pt idx="1">
                  <c:v>259</c:v>
                </c:pt>
                <c:pt idx="2">
                  <c:v>481</c:v>
                </c:pt>
                <c:pt idx="3">
                  <c:v>665</c:v>
                </c:pt>
                <c:pt idx="4">
                  <c:v>717</c:v>
                </c:pt>
                <c:pt idx="5">
                  <c:v>793</c:v>
                </c:pt>
                <c:pt idx="6">
                  <c:v>630</c:v>
                </c:pt>
                <c:pt idx="7">
                  <c:v>666</c:v>
                </c:pt>
                <c:pt idx="8">
                  <c:v>923</c:v>
                </c:pt>
                <c:pt idx="9">
                  <c:v>869</c:v>
                </c:pt>
              </c:numCache>
            </c:numRef>
          </c:val>
        </c:ser>
        <c:ser>
          <c:idx val="2"/>
          <c:order val="2"/>
          <c:tx>
            <c:strRef>
              <c:f>Sheet2!$C$42</c:f>
              <c:strCache>
                <c:ptCount val="1"/>
                <c:pt idx="0">
                  <c:v>SRB</c:v>
                </c:pt>
              </c:strCache>
            </c:strRef>
          </c:tx>
          <c:spPr>
            <a:solidFill>
              <a:schemeClr val="accent3">
                <a:shade val="82000"/>
              </a:schemeClr>
            </a:solidFill>
            <a:ln>
              <a:noFill/>
            </a:ln>
            <a:effectLst/>
          </c:spPr>
          <c:invertIfNegative val="0"/>
          <c:cat>
            <c:numRef>
              <c:f>Sheet2!$D$39:$M$39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Sheet2!$D$42:$M$42</c:f>
              <c:numCache>
                <c:formatCode>General</c:formatCode>
                <c:ptCount val="10"/>
                <c:pt idx="0">
                  <c:v>1268</c:v>
                </c:pt>
                <c:pt idx="1">
                  <c:v>3392</c:v>
                </c:pt>
                <c:pt idx="2">
                  <c:v>2513</c:v>
                </c:pt>
                <c:pt idx="3">
                  <c:v>2018</c:v>
                </c:pt>
                <c:pt idx="4">
                  <c:v>1410</c:v>
                </c:pt>
                <c:pt idx="5">
                  <c:v>1003</c:v>
                </c:pt>
                <c:pt idx="6">
                  <c:v>1949</c:v>
                </c:pt>
                <c:pt idx="7">
                  <c:v>284</c:v>
                </c:pt>
                <c:pt idx="8">
                  <c:v>779</c:v>
                </c:pt>
                <c:pt idx="9">
                  <c:v>1500</c:v>
                </c:pt>
              </c:numCache>
            </c:numRef>
          </c:val>
        </c:ser>
        <c:ser>
          <c:idx val="3"/>
          <c:order val="3"/>
          <c:tx>
            <c:strRef>
              <c:f>Sheet2!$C$43</c:f>
              <c:strCache>
                <c:ptCount val="1"/>
                <c:pt idx="0">
                  <c:v>XKX</c:v>
                </c:pt>
              </c:strCache>
            </c:strRef>
          </c:tx>
          <c:spPr>
            <a:solidFill>
              <a:srgbClr val="A5A5A5"/>
            </a:solidFill>
            <a:ln w="25154">
              <a:noFill/>
            </a:ln>
          </c:spPr>
          <c:invertIfNegative val="0"/>
          <c:cat>
            <c:numRef>
              <c:f>Sheet2!$D$39:$M$39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Sheet2!$D$43:$M$43</c:f>
              <c:numCache>
                <c:formatCode>General</c:formatCode>
                <c:ptCount val="10"/>
                <c:pt idx="0">
                  <c:v>108</c:v>
                </c:pt>
                <c:pt idx="1">
                  <c:v>295</c:v>
                </c:pt>
                <c:pt idx="2">
                  <c:v>441</c:v>
                </c:pt>
                <c:pt idx="3">
                  <c:v>366</c:v>
                </c:pt>
                <c:pt idx="4">
                  <c:v>287</c:v>
                </c:pt>
                <c:pt idx="5">
                  <c:v>366</c:v>
                </c:pt>
                <c:pt idx="6">
                  <c:v>394</c:v>
                </c:pt>
                <c:pt idx="7">
                  <c:v>229</c:v>
                </c:pt>
                <c:pt idx="8">
                  <c:v>259</c:v>
                </c:pt>
                <c:pt idx="9">
                  <c:v>151</c:v>
                </c:pt>
              </c:numCache>
            </c:numRef>
          </c:val>
        </c:ser>
        <c:ser>
          <c:idx val="4"/>
          <c:order val="4"/>
          <c:tx>
            <c:strRef>
              <c:f>Sheet2!$C$44</c:f>
              <c:strCache>
                <c:ptCount val="1"/>
                <c:pt idx="0">
                  <c:v>MKD</c:v>
                </c:pt>
              </c:strCache>
            </c:strRef>
          </c:tx>
          <c:spPr>
            <a:solidFill>
              <a:schemeClr val="accent3">
                <a:tint val="83000"/>
              </a:schemeClr>
            </a:solidFill>
            <a:ln>
              <a:noFill/>
            </a:ln>
            <a:effectLst/>
          </c:spPr>
          <c:invertIfNegative val="0"/>
          <c:cat>
            <c:numRef>
              <c:f>Sheet2!$D$39:$M$39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Sheet2!$D$44:$M$44</c:f>
              <c:numCache>
                <c:formatCode>General</c:formatCode>
                <c:ptCount val="10"/>
                <c:pt idx="0">
                  <c:v>77</c:v>
                </c:pt>
                <c:pt idx="1">
                  <c:v>345</c:v>
                </c:pt>
                <c:pt idx="2">
                  <c:v>506</c:v>
                </c:pt>
                <c:pt idx="3">
                  <c:v>400</c:v>
                </c:pt>
                <c:pt idx="4">
                  <c:v>145</c:v>
                </c:pt>
                <c:pt idx="5">
                  <c:v>160</c:v>
                </c:pt>
                <c:pt idx="6">
                  <c:v>337</c:v>
                </c:pt>
                <c:pt idx="7">
                  <c:v>72</c:v>
                </c:pt>
                <c:pt idx="8">
                  <c:v>251</c:v>
                </c:pt>
                <c:pt idx="9">
                  <c:v>205</c:v>
                </c:pt>
              </c:numCache>
            </c:numRef>
          </c:val>
        </c:ser>
        <c:ser>
          <c:idx val="5"/>
          <c:order val="5"/>
          <c:tx>
            <c:strRef>
              <c:f>Sheet2!$C$45</c:f>
              <c:strCache>
                <c:ptCount val="1"/>
                <c:pt idx="0">
                  <c:v>B&amp;H</c:v>
                </c:pt>
              </c:strCache>
            </c:strRef>
          </c:tx>
          <c:spPr>
            <a:solidFill>
              <a:schemeClr val="accent3">
                <a:tint val="65000"/>
              </a:schemeClr>
            </a:solidFill>
            <a:ln>
              <a:noFill/>
            </a:ln>
            <a:effectLst/>
          </c:spPr>
          <c:invertIfNegative val="0"/>
          <c:cat>
            <c:numRef>
              <c:f>Sheet2!$D$39:$M$39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Sheet2!$D$45:$M$45</c:f>
              <c:numCache>
                <c:formatCode>General</c:formatCode>
                <c:ptCount val="10"/>
                <c:pt idx="0">
                  <c:v>282</c:v>
                </c:pt>
                <c:pt idx="1">
                  <c:v>442</c:v>
                </c:pt>
                <c:pt idx="2">
                  <c:v>1329</c:v>
                </c:pt>
                <c:pt idx="3">
                  <c:v>684</c:v>
                </c:pt>
                <c:pt idx="4">
                  <c:v>180</c:v>
                </c:pt>
                <c:pt idx="5">
                  <c:v>307</c:v>
                </c:pt>
                <c:pt idx="6">
                  <c:v>355</c:v>
                </c:pt>
                <c:pt idx="7">
                  <c:v>285</c:v>
                </c:pt>
                <c:pt idx="8">
                  <c:v>300</c:v>
                </c:pt>
                <c:pt idx="9">
                  <c:v>378</c:v>
                </c:pt>
              </c:numCache>
            </c:numRef>
          </c:val>
        </c:ser>
        <c:dLbls>
          <c:showLegendKey val="0"/>
          <c:showVal val="0"/>
          <c:showCatName val="0"/>
          <c:showSerName val="0"/>
          <c:showPercent val="0"/>
          <c:showBubbleSize val="0"/>
        </c:dLbls>
        <c:gapWidth val="150"/>
        <c:axId val="-964815248"/>
        <c:axId val="-964824496"/>
      </c:barChart>
      <c:lineChart>
        <c:grouping val="standard"/>
        <c:varyColors val="0"/>
        <c:ser>
          <c:idx val="6"/>
          <c:order val="6"/>
          <c:tx>
            <c:strRef>
              <c:f>Sheet2!$C$46</c:f>
              <c:strCache>
                <c:ptCount val="1"/>
                <c:pt idx="0">
                  <c:v>Total</c:v>
                </c:pt>
              </c:strCache>
            </c:strRef>
          </c:tx>
          <c:spPr>
            <a:ln w="18865" cap="rnd" cmpd="sng" algn="ctr">
              <a:solidFill>
                <a:schemeClr val="accent3">
                  <a:tint val="48000"/>
                </a:schemeClr>
              </a:solidFill>
              <a:prstDash val="solid"/>
              <a:round/>
            </a:ln>
            <a:effectLst/>
          </c:spPr>
          <c:marker>
            <c:spPr>
              <a:noFill/>
              <a:ln w="6288" cap="flat" cmpd="sng" algn="ctr">
                <a:solidFill>
                  <a:schemeClr val="accent3">
                    <a:tint val="48000"/>
                  </a:schemeClr>
                </a:solidFill>
                <a:prstDash val="solid"/>
                <a:round/>
              </a:ln>
              <a:effectLst/>
            </c:spPr>
          </c:marker>
          <c:cat>
            <c:numRef>
              <c:f>Sheet2!$D$39:$M$39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Sheet2!$D$46:$M$46</c:f>
              <c:numCache>
                <c:formatCode>General</c:formatCode>
                <c:ptCount val="10"/>
                <c:pt idx="0">
                  <c:v>2351</c:v>
                </c:pt>
                <c:pt idx="1">
                  <c:v>5229</c:v>
                </c:pt>
                <c:pt idx="2">
                  <c:v>5953</c:v>
                </c:pt>
                <c:pt idx="3">
                  <c:v>4789</c:v>
                </c:pt>
                <c:pt idx="4">
                  <c:v>3838</c:v>
                </c:pt>
                <c:pt idx="5">
                  <c:v>3203</c:v>
                </c:pt>
                <c:pt idx="6">
                  <c:v>4066</c:v>
                </c:pt>
                <c:pt idx="7">
                  <c:v>2018</c:v>
                </c:pt>
                <c:pt idx="8">
                  <c:v>2849</c:v>
                </c:pt>
                <c:pt idx="9">
                  <c:v>3601</c:v>
                </c:pt>
              </c:numCache>
            </c:numRef>
          </c:val>
          <c:smooth val="0"/>
        </c:ser>
        <c:dLbls>
          <c:showLegendKey val="0"/>
          <c:showVal val="0"/>
          <c:showCatName val="0"/>
          <c:showSerName val="0"/>
          <c:showPercent val="0"/>
          <c:showBubbleSize val="0"/>
        </c:dLbls>
        <c:marker val="1"/>
        <c:smooth val="0"/>
        <c:axId val="-964815248"/>
        <c:axId val="-964824496"/>
      </c:lineChart>
      <c:catAx>
        <c:axId val="-964815248"/>
        <c:scaling>
          <c:orientation val="minMax"/>
        </c:scaling>
        <c:delete val="0"/>
        <c:axPos val="b"/>
        <c:numFmt formatCode="General" sourceLinked="1"/>
        <c:majorTickMark val="out"/>
        <c:minorTickMark val="none"/>
        <c:tickLblPos val="nextTo"/>
        <c:spPr>
          <a:noFill/>
          <a:ln w="6288" cap="flat" cmpd="sng" algn="ctr">
            <a:solidFill>
              <a:schemeClr val="tx1">
                <a:tint val="75000"/>
              </a:schemeClr>
            </a:solidFill>
            <a:prstDash val="solid"/>
            <a:round/>
          </a:ln>
          <a:effectLst/>
        </c:spPr>
        <c:txPr>
          <a:bodyPr rot="-60000000" spcFirstLastPara="1" vertOverflow="ellipsis" vert="horz" wrap="square" anchor="ctr" anchorCtr="1"/>
          <a:lstStyle/>
          <a:p>
            <a:pPr>
              <a:defRPr sz="990" b="0" i="0" u="none" strike="noStrike" kern="1200" baseline="0">
                <a:solidFill>
                  <a:schemeClr val="tx1"/>
                </a:solidFill>
                <a:latin typeface="+mn-lt"/>
                <a:ea typeface="+mn-ea"/>
                <a:cs typeface="+mn-cs"/>
              </a:defRPr>
            </a:pPr>
            <a:endParaRPr lang="en-US"/>
          </a:p>
        </c:txPr>
        <c:crossAx val="-964824496"/>
        <c:crosses val="autoZero"/>
        <c:auto val="1"/>
        <c:lblAlgn val="ctr"/>
        <c:lblOffset val="100"/>
        <c:noMultiLvlLbl val="0"/>
      </c:catAx>
      <c:valAx>
        <c:axId val="-964824496"/>
        <c:scaling>
          <c:orientation val="minMax"/>
        </c:scaling>
        <c:delete val="0"/>
        <c:axPos val="l"/>
        <c:majorGridlines>
          <c:spPr>
            <a:ln w="6288"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288" cap="flat" cmpd="sng" algn="ctr">
            <a:solidFill>
              <a:schemeClr val="tx1">
                <a:tint val="75000"/>
              </a:schemeClr>
            </a:solidFill>
            <a:prstDash val="solid"/>
            <a:round/>
          </a:ln>
          <a:effectLst/>
        </c:spPr>
        <c:txPr>
          <a:bodyPr rot="-60000000" spcFirstLastPara="1" vertOverflow="ellipsis" vert="horz" wrap="square" anchor="ctr" anchorCtr="1"/>
          <a:lstStyle/>
          <a:p>
            <a:pPr>
              <a:defRPr sz="990" b="0" i="0" u="none" strike="noStrike" kern="1200" baseline="0">
                <a:solidFill>
                  <a:schemeClr val="tx1"/>
                </a:solidFill>
                <a:latin typeface="+mn-lt"/>
                <a:ea typeface="+mn-ea"/>
                <a:cs typeface="+mn-cs"/>
              </a:defRPr>
            </a:pPr>
            <a:endParaRPr lang="en-US"/>
          </a:p>
        </c:txPr>
        <c:crossAx val="-964815248"/>
        <c:crosses val="autoZero"/>
        <c:crossBetween val="between"/>
      </c:valAx>
      <c:spPr>
        <a:solidFill>
          <a:srgbClr val="FFFFFF"/>
        </a:solidFill>
        <a:ln w="25154">
          <a:noFill/>
        </a:ln>
      </c:spPr>
    </c:plotArea>
    <c:legend>
      <c:legendPos val="r"/>
      <c:layout>
        <c:manualLayout>
          <c:xMode val="edge"/>
          <c:yMode val="edge"/>
          <c:x val="5.3418827532551914E-2"/>
          <c:y val="0.8341410959993637"/>
          <c:w val="0.86370566057093034"/>
          <c:h val="0.16370094647260003"/>
        </c:manualLayout>
      </c:layout>
      <c:overlay val="0"/>
      <c:spPr>
        <a:solidFill>
          <a:schemeClr val="lt1"/>
        </a:solidFill>
        <a:ln w="9440" cap="flat" cmpd="sng" algn="ctr">
          <a:solidFill>
            <a:schemeClr val="dk1"/>
          </a:solidFill>
          <a:prstDash val="solid"/>
        </a:ln>
        <a:effectLst/>
      </c:spPr>
      <c:txPr>
        <a:bodyPr rot="0" spcFirstLastPara="1" vertOverflow="ellipsis" vert="horz" wrap="square" anchor="ctr" anchorCtr="1"/>
        <a:lstStyle/>
        <a:p>
          <a:pPr>
            <a:defRPr sz="99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tx2">
        <a:lumMod val="20000"/>
        <a:lumOff val="80000"/>
      </a:schemeClr>
    </a:solidFill>
    <a:ln w="6288" cap="flat" cmpd="sng" algn="ctr">
      <a:solidFill>
        <a:schemeClr val="tx1">
          <a:tint val="75000"/>
        </a:schemeClr>
      </a:solidFill>
      <a:prstDash val="solid"/>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453985222650131E-2"/>
          <c:y val="1.4644875654042173E-2"/>
          <c:w val="0.80945452470615042"/>
          <c:h val="0.69630441091582862"/>
        </c:manualLayout>
      </c:layout>
      <c:barChart>
        <c:barDir val="col"/>
        <c:grouping val="clustered"/>
        <c:varyColors val="0"/>
        <c:ser>
          <c:idx val="0"/>
          <c:order val="0"/>
          <c:spPr>
            <a:solidFill>
              <a:schemeClr val="dk1">
                <a:tint val="88500"/>
              </a:schemeClr>
            </a:solidFill>
            <a:ln>
              <a:noFill/>
            </a:ln>
            <a:effectLst/>
          </c:spPr>
          <c:invertIfNegative val="0"/>
          <c:cat>
            <c:strRef>
              <c:f>EUR!$C$10:$C$18</c:f>
              <c:strCache>
                <c:ptCount val="9"/>
                <c:pt idx="0">
                  <c:v>Manufactoring</c:v>
                </c:pt>
                <c:pt idx="1">
                  <c:v>Financial activities</c:v>
                </c:pt>
                <c:pt idx="2">
                  <c:v>Trade </c:v>
                </c:pt>
                <c:pt idx="3">
                  <c:v>Electricity, gas, steam etc.</c:v>
                </c:pt>
                <c:pt idx="4">
                  <c:v>Construction</c:v>
                </c:pt>
                <c:pt idx="5">
                  <c:v>Iinformation and comunication</c:v>
                </c:pt>
                <c:pt idx="6">
                  <c:v>Mining and quarrying</c:v>
                </c:pt>
                <c:pt idx="7">
                  <c:v>Real estate activities</c:v>
                </c:pt>
                <c:pt idx="8">
                  <c:v>Other</c:v>
                </c:pt>
              </c:strCache>
            </c:strRef>
          </c:cat>
          <c:val>
            <c:numRef>
              <c:f>EUR!$D$10:$D$18</c:f>
            </c:numRef>
          </c:val>
        </c:ser>
        <c:ser>
          <c:idx val="1"/>
          <c:order val="1"/>
          <c:spPr>
            <a:solidFill>
              <a:schemeClr val="dk1">
                <a:tint val="55000"/>
              </a:schemeClr>
            </a:solidFill>
            <a:ln>
              <a:noFill/>
            </a:ln>
            <a:effectLst/>
          </c:spPr>
          <c:invertIfNegative val="0"/>
          <c:cat>
            <c:strRef>
              <c:f>EUR!$C$10:$C$18</c:f>
              <c:strCache>
                <c:ptCount val="9"/>
                <c:pt idx="0">
                  <c:v>Manufactoring</c:v>
                </c:pt>
                <c:pt idx="1">
                  <c:v>Financial activities</c:v>
                </c:pt>
                <c:pt idx="2">
                  <c:v>Trade </c:v>
                </c:pt>
                <c:pt idx="3">
                  <c:v>Electricity, gas, steam etc.</c:v>
                </c:pt>
                <c:pt idx="4">
                  <c:v>Construction</c:v>
                </c:pt>
                <c:pt idx="5">
                  <c:v>Iinformation and comunication</c:v>
                </c:pt>
                <c:pt idx="6">
                  <c:v>Mining and quarrying</c:v>
                </c:pt>
                <c:pt idx="7">
                  <c:v>Real estate activities</c:v>
                </c:pt>
                <c:pt idx="8">
                  <c:v>Other</c:v>
                </c:pt>
              </c:strCache>
            </c:strRef>
          </c:cat>
          <c:val>
            <c:numRef>
              <c:f>EUR!$E$10:$E$18</c:f>
            </c:numRef>
          </c:val>
        </c:ser>
        <c:ser>
          <c:idx val="2"/>
          <c:order val="2"/>
          <c:spPr>
            <a:solidFill>
              <a:schemeClr val="dk1">
                <a:tint val="75000"/>
              </a:schemeClr>
            </a:solidFill>
            <a:ln>
              <a:noFill/>
            </a:ln>
            <a:effectLst/>
          </c:spPr>
          <c:invertIfNegative val="0"/>
          <c:cat>
            <c:strRef>
              <c:f>EUR!$C$10:$C$18</c:f>
              <c:strCache>
                <c:ptCount val="9"/>
                <c:pt idx="0">
                  <c:v>Manufactoring</c:v>
                </c:pt>
                <c:pt idx="1">
                  <c:v>Financial activities</c:v>
                </c:pt>
                <c:pt idx="2">
                  <c:v>Trade </c:v>
                </c:pt>
                <c:pt idx="3">
                  <c:v>Electricity, gas, steam etc.</c:v>
                </c:pt>
                <c:pt idx="4">
                  <c:v>Construction</c:v>
                </c:pt>
                <c:pt idx="5">
                  <c:v>Iinformation and comunication</c:v>
                </c:pt>
                <c:pt idx="6">
                  <c:v>Mining and quarrying</c:v>
                </c:pt>
                <c:pt idx="7">
                  <c:v>Real estate activities</c:v>
                </c:pt>
                <c:pt idx="8">
                  <c:v>Other</c:v>
                </c:pt>
              </c:strCache>
            </c:strRef>
          </c:cat>
          <c:val>
            <c:numRef>
              <c:f>EUR!$F$10:$F$18</c:f>
            </c:numRef>
          </c:val>
        </c:ser>
        <c:ser>
          <c:idx val="3"/>
          <c:order val="3"/>
          <c:spPr>
            <a:solidFill>
              <a:schemeClr val="dk1">
                <a:tint val="98500"/>
              </a:schemeClr>
            </a:solidFill>
            <a:ln>
              <a:noFill/>
            </a:ln>
            <a:effectLst/>
          </c:spPr>
          <c:invertIfNegative val="0"/>
          <c:cat>
            <c:strRef>
              <c:f>EUR!$C$10:$C$18</c:f>
              <c:strCache>
                <c:ptCount val="9"/>
                <c:pt idx="0">
                  <c:v>Manufactoring</c:v>
                </c:pt>
                <c:pt idx="1">
                  <c:v>Financial activities</c:v>
                </c:pt>
                <c:pt idx="2">
                  <c:v>Trade </c:v>
                </c:pt>
                <c:pt idx="3">
                  <c:v>Electricity, gas, steam etc.</c:v>
                </c:pt>
                <c:pt idx="4">
                  <c:v>Construction</c:v>
                </c:pt>
                <c:pt idx="5">
                  <c:v>Iinformation and comunication</c:v>
                </c:pt>
                <c:pt idx="6">
                  <c:v>Mining and quarrying</c:v>
                </c:pt>
                <c:pt idx="7">
                  <c:v>Real estate activities</c:v>
                </c:pt>
                <c:pt idx="8">
                  <c:v>Other</c:v>
                </c:pt>
              </c:strCache>
            </c:strRef>
          </c:cat>
          <c:val>
            <c:numRef>
              <c:f>EUR!$G$10:$G$18</c:f>
            </c:numRef>
          </c:val>
        </c:ser>
        <c:ser>
          <c:idx val="4"/>
          <c:order val="4"/>
          <c:spPr>
            <a:solidFill>
              <a:schemeClr val="dk1">
                <a:tint val="30000"/>
              </a:schemeClr>
            </a:solidFill>
            <a:ln>
              <a:noFill/>
            </a:ln>
            <a:effectLst/>
          </c:spPr>
          <c:invertIfNegative val="0"/>
          <c:cat>
            <c:strRef>
              <c:f>EUR!$C$10:$C$18</c:f>
              <c:strCache>
                <c:ptCount val="9"/>
                <c:pt idx="0">
                  <c:v>Manufactoring</c:v>
                </c:pt>
                <c:pt idx="1">
                  <c:v>Financial activities</c:v>
                </c:pt>
                <c:pt idx="2">
                  <c:v>Trade </c:v>
                </c:pt>
                <c:pt idx="3">
                  <c:v>Electricity, gas, steam etc.</c:v>
                </c:pt>
                <c:pt idx="4">
                  <c:v>Construction</c:v>
                </c:pt>
                <c:pt idx="5">
                  <c:v>Iinformation and comunication</c:v>
                </c:pt>
                <c:pt idx="6">
                  <c:v>Mining and quarrying</c:v>
                </c:pt>
                <c:pt idx="7">
                  <c:v>Real estate activities</c:v>
                </c:pt>
                <c:pt idx="8">
                  <c:v>Other</c:v>
                </c:pt>
              </c:strCache>
            </c:strRef>
          </c:cat>
          <c:val>
            <c:numRef>
              <c:f>EUR!$H$10:$H$18</c:f>
            </c:numRef>
          </c:val>
        </c:ser>
        <c:ser>
          <c:idx val="5"/>
          <c:order val="5"/>
          <c:spPr>
            <a:solidFill>
              <a:schemeClr val="dk1">
                <a:tint val="60000"/>
              </a:schemeClr>
            </a:solidFill>
            <a:ln>
              <a:noFill/>
            </a:ln>
            <a:effectLst/>
          </c:spPr>
          <c:invertIfNegative val="0"/>
          <c:cat>
            <c:strRef>
              <c:f>EUR!$C$10:$C$18</c:f>
              <c:strCache>
                <c:ptCount val="9"/>
                <c:pt idx="0">
                  <c:v>Manufactoring</c:v>
                </c:pt>
                <c:pt idx="1">
                  <c:v>Financial activities</c:v>
                </c:pt>
                <c:pt idx="2">
                  <c:v>Trade </c:v>
                </c:pt>
                <c:pt idx="3">
                  <c:v>Electricity, gas, steam etc.</c:v>
                </c:pt>
                <c:pt idx="4">
                  <c:v>Construction</c:v>
                </c:pt>
                <c:pt idx="5">
                  <c:v>Iinformation and comunication</c:v>
                </c:pt>
                <c:pt idx="6">
                  <c:v>Mining and quarrying</c:v>
                </c:pt>
                <c:pt idx="7">
                  <c:v>Real estate activities</c:v>
                </c:pt>
                <c:pt idx="8">
                  <c:v>Other</c:v>
                </c:pt>
              </c:strCache>
            </c:strRef>
          </c:cat>
          <c:val>
            <c:numRef>
              <c:f>EUR!$I$10:$I$18</c:f>
            </c:numRef>
          </c:val>
        </c:ser>
        <c:ser>
          <c:idx val="6"/>
          <c:order val="6"/>
          <c:spPr>
            <a:solidFill>
              <a:schemeClr val="dk1">
                <a:tint val="80000"/>
              </a:schemeClr>
            </a:solidFill>
            <a:ln>
              <a:noFill/>
            </a:ln>
            <a:effectLst/>
          </c:spPr>
          <c:invertIfNegative val="0"/>
          <c:cat>
            <c:strRef>
              <c:f>EUR!$C$10:$C$18</c:f>
              <c:strCache>
                <c:ptCount val="9"/>
                <c:pt idx="0">
                  <c:v>Manufactoring</c:v>
                </c:pt>
                <c:pt idx="1">
                  <c:v>Financial activities</c:v>
                </c:pt>
                <c:pt idx="2">
                  <c:v>Trade </c:v>
                </c:pt>
                <c:pt idx="3">
                  <c:v>Electricity, gas, steam etc.</c:v>
                </c:pt>
                <c:pt idx="4">
                  <c:v>Construction</c:v>
                </c:pt>
                <c:pt idx="5">
                  <c:v>Iinformation and comunication</c:v>
                </c:pt>
                <c:pt idx="6">
                  <c:v>Mining and quarrying</c:v>
                </c:pt>
                <c:pt idx="7">
                  <c:v>Real estate activities</c:v>
                </c:pt>
                <c:pt idx="8">
                  <c:v>Other</c:v>
                </c:pt>
              </c:strCache>
            </c:strRef>
          </c:cat>
          <c:val>
            <c:numRef>
              <c:f>EUR!$J$10:$J$18</c:f>
            </c:numRef>
          </c:val>
        </c:ser>
        <c:ser>
          <c:idx val="7"/>
          <c:order val="7"/>
          <c:spPr>
            <a:solidFill>
              <a:schemeClr val="dk1">
                <a:tint val="88500"/>
              </a:schemeClr>
            </a:solidFill>
            <a:ln>
              <a:noFill/>
            </a:ln>
            <a:effectLst/>
          </c:spPr>
          <c:invertIfNegative val="0"/>
          <c:cat>
            <c:strRef>
              <c:f>EUR!$C$10:$C$18</c:f>
              <c:strCache>
                <c:ptCount val="9"/>
                <c:pt idx="0">
                  <c:v>Manufactoring</c:v>
                </c:pt>
                <c:pt idx="1">
                  <c:v>Financial activities</c:v>
                </c:pt>
                <c:pt idx="2">
                  <c:v>Trade </c:v>
                </c:pt>
                <c:pt idx="3">
                  <c:v>Electricity, gas, steam etc.</c:v>
                </c:pt>
                <c:pt idx="4">
                  <c:v>Construction</c:v>
                </c:pt>
                <c:pt idx="5">
                  <c:v>Iinformation and comunication</c:v>
                </c:pt>
                <c:pt idx="6">
                  <c:v>Mining and quarrying</c:v>
                </c:pt>
                <c:pt idx="7">
                  <c:v>Real estate activities</c:v>
                </c:pt>
                <c:pt idx="8">
                  <c:v>Other</c:v>
                </c:pt>
              </c:strCache>
            </c:strRef>
          </c:cat>
          <c:val>
            <c:numRef>
              <c:f>EUR!$K$10:$K$18</c:f>
            </c:numRef>
          </c:val>
        </c:ser>
        <c:ser>
          <c:idx val="8"/>
          <c:order val="8"/>
          <c:spPr>
            <a:solidFill>
              <a:schemeClr val="dk1">
                <a:tint val="55000"/>
              </a:schemeClr>
            </a:solidFill>
            <a:ln>
              <a:noFill/>
            </a:ln>
            <a:effectLst/>
          </c:spPr>
          <c:invertIfNegative val="0"/>
          <c:cat>
            <c:strRef>
              <c:f>EUR!$C$10:$C$18</c:f>
              <c:strCache>
                <c:ptCount val="9"/>
                <c:pt idx="0">
                  <c:v>Manufactoring</c:v>
                </c:pt>
                <c:pt idx="1">
                  <c:v>Financial activities</c:v>
                </c:pt>
                <c:pt idx="2">
                  <c:v>Trade </c:v>
                </c:pt>
                <c:pt idx="3">
                  <c:v>Electricity, gas, steam etc.</c:v>
                </c:pt>
                <c:pt idx="4">
                  <c:v>Construction</c:v>
                </c:pt>
                <c:pt idx="5">
                  <c:v>Iinformation and comunication</c:v>
                </c:pt>
                <c:pt idx="6">
                  <c:v>Mining and quarrying</c:v>
                </c:pt>
                <c:pt idx="7">
                  <c:v>Real estate activities</c:v>
                </c:pt>
                <c:pt idx="8">
                  <c:v>Other</c:v>
                </c:pt>
              </c:strCache>
            </c:strRef>
          </c:cat>
          <c:val>
            <c:numRef>
              <c:f>EUR!$L$10:$L$18</c:f>
            </c:numRef>
          </c:val>
        </c:ser>
        <c:ser>
          <c:idx val="9"/>
          <c:order val="9"/>
          <c:spPr>
            <a:solidFill>
              <a:schemeClr val="dk1">
                <a:tint val="75000"/>
              </a:schemeClr>
            </a:solidFill>
            <a:ln>
              <a:noFill/>
            </a:ln>
            <a:effectLst/>
          </c:spPr>
          <c:invertIfNegative val="0"/>
          <c:cat>
            <c:strRef>
              <c:f>EUR!$C$10:$C$18</c:f>
              <c:strCache>
                <c:ptCount val="9"/>
                <c:pt idx="0">
                  <c:v>Manufactoring</c:v>
                </c:pt>
                <c:pt idx="1">
                  <c:v>Financial activities</c:v>
                </c:pt>
                <c:pt idx="2">
                  <c:v>Trade </c:v>
                </c:pt>
                <c:pt idx="3">
                  <c:v>Electricity, gas, steam etc.</c:v>
                </c:pt>
                <c:pt idx="4">
                  <c:v>Construction</c:v>
                </c:pt>
                <c:pt idx="5">
                  <c:v>Iinformation and comunication</c:v>
                </c:pt>
                <c:pt idx="6">
                  <c:v>Mining and quarrying</c:v>
                </c:pt>
                <c:pt idx="7">
                  <c:v>Real estate activities</c:v>
                </c:pt>
                <c:pt idx="8">
                  <c:v>Other</c:v>
                </c:pt>
              </c:strCache>
            </c:strRef>
          </c:cat>
          <c:val>
            <c:numRef>
              <c:f>EUR!$M$10:$M$18</c:f>
            </c:numRef>
          </c:val>
        </c:ser>
        <c:ser>
          <c:idx val="10"/>
          <c:order val="10"/>
          <c:spPr>
            <a:solidFill>
              <a:schemeClr val="dk1">
                <a:tint val="98500"/>
              </a:schemeClr>
            </a:solidFill>
            <a:ln>
              <a:noFill/>
            </a:ln>
            <a:effectLst/>
          </c:spPr>
          <c:invertIfNegative val="0"/>
          <c:cat>
            <c:strRef>
              <c:f>EUR!$C$10:$C$18</c:f>
              <c:strCache>
                <c:ptCount val="9"/>
                <c:pt idx="0">
                  <c:v>Manufactoring</c:v>
                </c:pt>
                <c:pt idx="1">
                  <c:v>Financial activities</c:v>
                </c:pt>
                <c:pt idx="2">
                  <c:v>Trade </c:v>
                </c:pt>
                <c:pt idx="3">
                  <c:v>Electricity, gas, steam etc.</c:v>
                </c:pt>
                <c:pt idx="4">
                  <c:v>Construction</c:v>
                </c:pt>
                <c:pt idx="5">
                  <c:v>Iinformation and comunication</c:v>
                </c:pt>
                <c:pt idx="6">
                  <c:v>Mining and quarrying</c:v>
                </c:pt>
                <c:pt idx="7">
                  <c:v>Real estate activities</c:v>
                </c:pt>
                <c:pt idx="8">
                  <c:v>Other</c:v>
                </c:pt>
              </c:strCache>
            </c:strRef>
          </c:cat>
          <c:val>
            <c:numRef>
              <c:f>EUR!$N$10:$N$18</c:f>
            </c:numRef>
          </c:val>
        </c:ser>
        <c:ser>
          <c:idx val="11"/>
          <c:order val="11"/>
          <c:spPr>
            <a:solidFill>
              <a:schemeClr val="dk1">
                <a:tint val="30000"/>
              </a:schemeClr>
            </a:solidFill>
            <a:ln>
              <a:noFill/>
            </a:ln>
            <a:effectLst/>
          </c:spPr>
          <c:invertIfNegative val="0"/>
          <c:cat>
            <c:strRef>
              <c:f>EUR!$C$10:$C$18</c:f>
              <c:strCache>
                <c:ptCount val="9"/>
                <c:pt idx="0">
                  <c:v>Manufactoring</c:v>
                </c:pt>
                <c:pt idx="1">
                  <c:v>Financial activities</c:v>
                </c:pt>
                <c:pt idx="2">
                  <c:v>Trade </c:v>
                </c:pt>
                <c:pt idx="3">
                  <c:v>Electricity, gas, steam etc.</c:v>
                </c:pt>
                <c:pt idx="4">
                  <c:v>Construction</c:v>
                </c:pt>
                <c:pt idx="5">
                  <c:v>Iinformation and comunication</c:v>
                </c:pt>
                <c:pt idx="6">
                  <c:v>Mining and quarrying</c:v>
                </c:pt>
                <c:pt idx="7">
                  <c:v>Real estate activities</c:v>
                </c:pt>
                <c:pt idx="8">
                  <c:v>Other</c:v>
                </c:pt>
              </c:strCache>
            </c:strRef>
          </c:cat>
          <c:val>
            <c:numRef>
              <c:f>EUR!$O$10:$O$18</c:f>
            </c:numRef>
          </c:val>
        </c:ser>
        <c:ser>
          <c:idx val="12"/>
          <c:order val="12"/>
          <c:spPr>
            <a:solidFill>
              <a:schemeClr val="dk1">
                <a:tint val="60000"/>
              </a:schemeClr>
            </a:solidFill>
            <a:ln>
              <a:noFill/>
            </a:ln>
            <a:effectLst/>
          </c:spPr>
          <c:invertIfNegative val="0"/>
          <c:dLbls>
            <c:dLbl>
              <c:idx val="0"/>
              <c:tx>
                <c:rich>
                  <a:bodyPr/>
                  <a:lstStyle/>
                  <a:p>
                    <a:r>
                      <a:rPr lang="en-US" b="1">
                        <a:ln>
                          <a:noFill/>
                        </a:ln>
                        <a:solidFill>
                          <a:schemeClr val="tx1"/>
                        </a:solidFill>
                      </a:rPr>
                      <a:t>35,5%</a:t>
                    </a:r>
                    <a:endParaRPr lang="en-US">
                      <a:ln>
                        <a:noFill/>
                      </a:ln>
                      <a:solidFill>
                        <a:schemeClr val="tx1"/>
                      </a:solidFill>
                    </a:endParaRPr>
                  </a:p>
                </c:rich>
              </c:tx>
              <c:showLegendKey val="0"/>
              <c:showVal val="0"/>
              <c:showCatName val="0"/>
              <c:showSerName val="0"/>
              <c:showPercent val="0"/>
              <c:showBubbleSize val="0"/>
              <c:extLst>
                <c:ext xmlns:c15="http://schemas.microsoft.com/office/drawing/2012/chart" uri="{CE6537A1-D6FC-4f65-9D91-7224C49458BB}"/>
              </c:extLst>
            </c:dLbl>
            <c:dLbl>
              <c:idx val="1"/>
              <c:layout>
                <c:manualLayout>
                  <c:x val="-3.0413625304136254E-2"/>
                  <c:y val="-8.1593472522198243E-2"/>
                </c:manualLayout>
              </c:layout>
              <c:tx>
                <c:rich>
                  <a:bodyPr/>
                  <a:lstStyle/>
                  <a:p>
                    <a:r>
                      <a:rPr lang="en-US" b="1">
                        <a:ln>
                          <a:noFill/>
                        </a:ln>
                        <a:solidFill>
                          <a:schemeClr val="tx1"/>
                        </a:solidFill>
                      </a:rPr>
                      <a:t>20,5%</a:t>
                    </a:r>
                    <a:endParaRPr lang="en-US">
                      <a:ln>
                        <a:noFill/>
                      </a:ln>
                      <a:solidFill>
                        <a:schemeClr val="tx1"/>
                      </a:solidFill>
                    </a:endParaRP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3.0413625304136254E-2"/>
                  <c:y val="-6.4794816414686901E-2"/>
                </c:manualLayout>
              </c:layout>
              <c:tx>
                <c:rich>
                  <a:bodyPr/>
                  <a:lstStyle/>
                  <a:p>
                    <a:r>
                      <a:rPr lang="en-US" b="1">
                        <a:ln>
                          <a:noFill/>
                        </a:ln>
                        <a:solidFill>
                          <a:schemeClr val="tx1"/>
                        </a:solidFill>
                      </a:rPr>
                      <a:t>16,1%</a:t>
                    </a:r>
                    <a:endParaRPr lang="en-US">
                      <a:ln>
                        <a:noFill/>
                      </a:ln>
                      <a:solidFill>
                        <a:schemeClr val="tx1"/>
                      </a:solidFill>
                    </a:endParaRP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3.2441200324412015E-2"/>
                  <c:y val="-5.0396157283795227E-2"/>
                </c:manualLayout>
              </c:layout>
              <c:tx>
                <c:rich>
                  <a:bodyPr/>
                  <a:lstStyle/>
                  <a:p>
                    <a:r>
                      <a:rPr lang="en-US" b="1">
                        <a:ln>
                          <a:noFill/>
                        </a:ln>
                        <a:solidFill>
                          <a:schemeClr val="tx1"/>
                        </a:solidFill>
                      </a:rPr>
                      <a:t>7,4%</a:t>
                    </a:r>
                    <a:endParaRPr lang="en-US">
                      <a:ln>
                        <a:noFill/>
                      </a:ln>
                      <a:solidFill>
                        <a:schemeClr val="tx1"/>
                      </a:solidFill>
                    </a:endParaRP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3.4468775344687744E-2"/>
                  <c:y val="-5.7595392368610554E-2"/>
                </c:manualLayout>
              </c:layout>
              <c:tx>
                <c:rich>
                  <a:bodyPr/>
                  <a:lstStyle/>
                  <a:p>
                    <a:r>
                      <a:rPr lang="en-US" b="1">
                        <a:ln>
                          <a:noFill/>
                        </a:ln>
                        <a:solidFill>
                          <a:schemeClr val="tx1"/>
                        </a:solidFill>
                      </a:rPr>
                      <a:t>5,3%</a:t>
                    </a:r>
                    <a:endParaRPr lang="en-US">
                      <a:ln>
                        <a:noFill/>
                      </a:ln>
                      <a:solidFill>
                        <a:schemeClr val="tx1"/>
                      </a:solidFill>
                    </a:endParaRP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2.6358475263584678E-2"/>
                  <c:y val="-5.9995200383969292E-2"/>
                </c:manualLayout>
              </c:layout>
              <c:tx>
                <c:rich>
                  <a:bodyPr/>
                  <a:lstStyle/>
                  <a:p>
                    <a:r>
                      <a:rPr lang="en-US" b="1"/>
                      <a:t>4,0%</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3.0413625304136254E-2"/>
                  <c:y val="-5.2795776337892987E-2"/>
                </c:manualLayout>
              </c:layout>
              <c:tx>
                <c:rich>
                  <a:bodyPr/>
                  <a:lstStyle/>
                  <a:p>
                    <a:r>
                      <a:rPr lang="en-US" b="1"/>
                      <a:t>2,7%</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3.4468775344687744E-2"/>
                  <c:y val="-5.2795965299154007E-2"/>
                </c:manualLayout>
              </c:layout>
              <c:tx>
                <c:rich>
                  <a:bodyPr/>
                  <a:lstStyle/>
                  <a:p>
                    <a:r>
                      <a:rPr lang="en-US" b="1"/>
                      <a:t>1,5%</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3.0413625304136337E-2"/>
                  <c:y val="-1.6798656107511488E-2"/>
                </c:manualLayout>
              </c:layout>
              <c:tx>
                <c:rich>
                  <a:bodyPr/>
                  <a:lstStyle/>
                  <a:p>
                    <a:r>
                      <a:rPr lang="en-US" b="1"/>
                      <a:t>7,0%</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spPr>
              <a:solidFill>
                <a:sysClr val="window" lastClr="FFFFFF">
                  <a:alpha val="97000"/>
                </a:sysClr>
              </a:solidFill>
              <a:ln w="12674">
                <a:solidFill>
                  <a:schemeClr val="tx1"/>
                </a:solidFill>
              </a:ln>
              <a:effectLst/>
            </c:spPr>
            <c:txPr>
              <a:bodyPr rot="-5400000" spcFirstLastPara="1" vertOverflow="ellipsis" wrap="square" anchor="ctr" anchorCtr="1"/>
              <a:lstStyle/>
              <a:p>
                <a:pPr>
                  <a:defRPr sz="998" b="1"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EUR!$C$10:$C$18</c:f>
              <c:strCache>
                <c:ptCount val="9"/>
                <c:pt idx="0">
                  <c:v>Manufactoring</c:v>
                </c:pt>
                <c:pt idx="1">
                  <c:v>Financial activities</c:v>
                </c:pt>
                <c:pt idx="2">
                  <c:v>Trade </c:v>
                </c:pt>
                <c:pt idx="3">
                  <c:v>Electricity, gas, steam etc.</c:v>
                </c:pt>
                <c:pt idx="4">
                  <c:v>Construction</c:v>
                </c:pt>
                <c:pt idx="5">
                  <c:v>Iinformation and comunication</c:v>
                </c:pt>
                <c:pt idx="6">
                  <c:v>Mining and quarrying</c:v>
                </c:pt>
                <c:pt idx="7">
                  <c:v>Real estate activities</c:v>
                </c:pt>
                <c:pt idx="8">
                  <c:v>Other</c:v>
                </c:pt>
              </c:strCache>
            </c:strRef>
          </c:cat>
          <c:val>
            <c:numRef>
              <c:f>EUR!$P$10:$P$18</c:f>
              <c:numCache>
                <c:formatCode>#,##0.0</c:formatCode>
                <c:ptCount val="9"/>
                <c:pt idx="0">
                  <c:v>1563.7427680324699</c:v>
                </c:pt>
                <c:pt idx="1">
                  <c:v>902.79871503149002</c:v>
                </c:pt>
                <c:pt idx="2">
                  <c:v>706.35929262046</c:v>
                </c:pt>
                <c:pt idx="3">
                  <c:v>327.41648762486</c:v>
                </c:pt>
                <c:pt idx="4">
                  <c:v>231.16781672458998</c:v>
                </c:pt>
                <c:pt idx="5">
                  <c:v>174.43998804135001</c:v>
                </c:pt>
                <c:pt idx="6">
                  <c:v>119.34838145887001</c:v>
                </c:pt>
                <c:pt idx="7">
                  <c:v>65.157211724000007</c:v>
                </c:pt>
                <c:pt idx="8">
                  <c:v>312.8</c:v>
                </c:pt>
              </c:numCache>
            </c:numRef>
          </c:val>
        </c:ser>
        <c:dLbls>
          <c:showLegendKey val="0"/>
          <c:showVal val="0"/>
          <c:showCatName val="0"/>
          <c:showSerName val="0"/>
          <c:showPercent val="0"/>
          <c:showBubbleSize val="0"/>
        </c:dLbls>
        <c:gapWidth val="150"/>
        <c:axId val="-964814704"/>
        <c:axId val="-964818512"/>
      </c:barChart>
      <c:lineChart>
        <c:grouping val="standard"/>
        <c:varyColors val="0"/>
        <c:ser>
          <c:idx val="13"/>
          <c:order val="13"/>
          <c:spPr>
            <a:ln w="19019">
              <a:noFill/>
            </a:ln>
          </c:spPr>
          <c:marker>
            <c:spPr>
              <a:noFill/>
              <a:ln w="6340" cap="flat" cmpd="sng" algn="ctr">
                <a:solidFill>
                  <a:schemeClr val="dk1">
                    <a:tint val="80000"/>
                  </a:schemeClr>
                </a:solidFill>
                <a:prstDash val="solid"/>
                <a:round/>
              </a:ln>
              <a:effectLst/>
            </c:spPr>
          </c:marker>
          <c:dLbls>
            <c:spPr>
              <a:noFill/>
              <a:ln w="25383">
                <a:noFill/>
              </a:ln>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EUR!$C$10:$C$18</c:f>
              <c:strCache>
                <c:ptCount val="9"/>
                <c:pt idx="0">
                  <c:v>Manufactoring</c:v>
                </c:pt>
                <c:pt idx="1">
                  <c:v>Financial activities</c:v>
                </c:pt>
                <c:pt idx="2">
                  <c:v>Trade </c:v>
                </c:pt>
                <c:pt idx="3">
                  <c:v>Electricity, gas, steam etc.</c:v>
                </c:pt>
                <c:pt idx="4">
                  <c:v>Construction</c:v>
                </c:pt>
                <c:pt idx="5">
                  <c:v>Iinformation and comunication</c:v>
                </c:pt>
                <c:pt idx="6">
                  <c:v>Mining and quarrying</c:v>
                </c:pt>
                <c:pt idx="7">
                  <c:v>Real estate activities</c:v>
                </c:pt>
                <c:pt idx="8">
                  <c:v>Other</c:v>
                </c:pt>
              </c:strCache>
            </c:strRef>
          </c:cat>
          <c:val>
            <c:numRef>
              <c:f>EUR!$Q$10:$Q$18</c:f>
              <c:numCache>
                <c:formatCode>#,##0.0</c:formatCode>
                <c:ptCount val="9"/>
                <c:pt idx="0">
                  <c:v>35.538818716805409</c:v>
                </c:pt>
                <c:pt idx="1">
                  <c:v>20.517696725554281</c:v>
                </c:pt>
                <c:pt idx="2">
                  <c:v>16.053263594596643</c:v>
                </c:pt>
                <c:pt idx="3">
                  <c:v>7.4411184732343703</c:v>
                </c:pt>
                <c:pt idx="4">
                  <c:v>5.2536972830075559</c:v>
                </c:pt>
                <c:pt idx="5">
                  <c:v>3.9644570953082199</c:v>
                </c:pt>
                <c:pt idx="6">
                  <c:v>2.712402947287587</c:v>
                </c:pt>
                <c:pt idx="7">
                  <c:v>1.4808128183801534</c:v>
                </c:pt>
                <c:pt idx="8">
                  <c:v>7</c:v>
                </c:pt>
              </c:numCache>
            </c:numRef>
          </c:val>
          <c:smooth val="0"/>
        </c:ser>
        <c:dLbls>
          <c:showLegendKey val="0"/>
          <c:showVal val="0"/>
          <c:showCatName val="0"/>
          <c:showSerName val="0"/>
          <c:showPercent val="0"/>
          <c:showBubbleSize val="0"/>
        </c:dLbls>
        <c:marker val="1"/>
        <c:smooth val="0"/>
        <c:axId val="-964819600"/>
        <c:axId val="-964823952"/>
      </c:lineChart>
      <c:catAx>
        <c:axId val="-964814704"/>
        <c:scaling>
          <c:orientation val="minMax"/>
        </c:scaling>
        <c:delete val="0"/>
        <c:axPos val="b"/>
        <c:minorGridlines>
          <c:spPr>
            <a:ln w="6340" cap="flat" cmpd="sng" algn="ctr">
              <a:solidFill>
                <a:schemeClr val="tx1">
                  <a:tint val="50000"/>
                </a:schemeClr>
              </a:solidFill>
              <a:prstDash val="solid"/>
              <a:round/>
            </a:ln>
            <a:effectLst/>
          </c:spPr>
        </c:minorGridlines>
        <c:numFmt formatCode="General" sourceLinked="1"/>
        <c:majorTickMark val="out"/>
        <c:minorTickMark val="none"/>
        <c:tickLblPos val="nextTo"/>
        <c:spPr>
          <a:noFill/>
          <a:ln w="6340" cap="flat" cmpd="sng" algn="ctr">
            <a:solidFill>
              <a:sysClr val="windowText" lastClr="000000"/>
            </a:solidFill>
            <a:prstDash val="solid"/>
            <a:round/>
          </a:ln>
          <a:effectLst/>
        </c:spPr>
        <c:txPr>
          <a:bodyPr rot="-60000000" spcFirstLastPara="1" vertOverflow="ellipsis" vert="horz" wrap="square" anchor="ctr" anchorCtr="1"/>
          <a:lstStyle/>
          <a:p>
            <a:pPr>
              <a:defRPr sz="599"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64818512"/>
        <c:crosses val="autoZero"/>
        <c:auto val="1"/>
        <c:lblAlgn val="ctr"/>
        <c:lblOffset val="100"/>
        <c:noMultiLvlLbl val="0"/>
      </c:catAx>
      <c:valAx>
        <c:axId val="-964818512"/>
        <c:scaling>
          <c:orientation val="minMax"/>
          <c:max val="1600"/>
          <c:min val="0"/>
        </c:scaling>
        <c:delete val="0"/>
        <c:axPos val="l"/>
        <c:majorGridlines>
          <c:spPr>
            <a:ln w="6340" cap="flat" cmpd="sng" algn="ctr">
              <a:solidFill>
                <a:schemeClr val="tx1">
                  <a:tint val="75000"/>
                </a:schemeClr>
              </a:solidFill>
              <a:prstDash val="solid"/>
              <a:round/>
            </a:ln>
            <a:effectLst/>
          </c:spPr>
        </c:majorGridlines>
        <c:numFmt formatCode="#,##0.0" sourceLinked="1"/>
        <c:majorTickMark val="out"/>
        <c:minorTickMark val="none"/>
        <c:tickLblPos val="nextTo"/>
        <c:spPr>
          <a:noFill/>
          <a:ln w="6340" cap="flat" cmpd="sng" algn="ctr">
            <a:solidFill>
              <a:schemeClr val="tx1">
                <a:tint val="75000"/>
              </a:schemeClr>
            </a:solidFill>
            <a:prstDash val="solid"/>
            <a:round/>
          </a:ln>
          <a:effectLst/>
        </c:spPr>
        <c:txPr>
          <a:bodyPr rot="-60000000" spcFirstLastPara="1" vertOverflow="ellipsis" vert="horz" wrap="square" anchor="ctr" anchorCtr="1"/>
          <a:lstStyle/>
          <a:p>
            <a:pPr>
              <a:defRPr sz="998" b="0" i="0" u="none" strike="noStrike" kern="1200" baseline="0">
                <a:solidFill>
                  <a:schemeClr val="tx1"/>
                </a:solidFill>
                <a:latin typeface="+mn-lt"/>
                <a:ea typeface="+mn-ea"/>
                <a:cs typeface="+mn-cs"/>
              </a:defRPr>
            </a:pPr>
            <a:endParaRPr lang="en-US"/>
          </a:p>
        </c:txPr>
        <c:crossAx val="-964814704"/>
        <c:crosses val="autoZero"/>
        <c:crossBetween val="between"/>
      </c:valAx>
      <c:catAx>
        <c:axId val="-964819600"/>
        <c:scaling>
          <c:orientation val="minMax"/>
        </c:scaling>
        <c:delete val="1"/>
        <c:axPos val="b"/>
        <c:numFmt formatCode="General" sourceLinked="1"/>
        <c:majorTickMark val="out"/>
        <c:minorTickMark val="none"/>
        <c:tickLblPos val="nextTo"/>
        <c:crossAx val="-964823952"/>
        <c:crosses val="autoZero"/>
        <c:auto val="1"/>
        <c:lblAlgn val="ctr"/>
        <c:lblOffset val="100"/>
        <c:noMultiLvlLbl val="0"/>
      </c:catAx>
      <c:valAx>
        <c:axId val="-964823952"/>
        <c:scaling>
          <c:orientation val="minMax"/>
        </c:scaling>
        <c:delete val="0"/>
        <c:axPos val="r"/>
        <c:numFmt formatCode="#,##0.0" sourceLinked="1"/>
        <c:majorTickMark val="out"/>
        <c:minorTickMark val="none"/>
        <c:tickLblPos val="nextTo"/>
        <c:spPr>
          <a:noFill/>
          <a:ln w="6340" cap="flat" cmpd="sng" algn="ctr">
            <a:solidFill>
              <a:schemeClr val="tx1">
                <a:tint val="75000"/>
              </a:schemeClr>
            </a:solidFill>
            <a:prstDash val="solid"/>
            <a:round/>
          </a:ln>
          <a:effectLst/>
        </c:spPr>
        <c:txPr>
          <a:bodyPr rot="-60000000" spcFirstLastPara="1" vertOverflow="ellipsis" vert="horz" wrap="square" anchor="ctr" anchorCtr="1"/>
          <a:lstStyle/>
          <a:p>
            <a:pPr>
              <a:defRPr sz="998" b="0" i="0" u="none" strike="noStrike" kern="1200" baseline="0">
                <a:solidFill>
                  <a:schemeClr val="tx1"/>
                </a:solidFill>
                <a:latin typeface="+mn-lt"/>
                <a:ea typeface="+mn-ea"/>
                <a:cs typeface="+mn-cs"/>
              </a:defRPr>
            </a:pPr>
            <a:endParaRPr lang="en-US"/>
          </a:p>
        </c:txPr>
        <c:crossAx val="-964819600"/>
        <c:crosses val="max"/>
        <c:crossBetween val="between"/>
      </c:valAx>
      <c:spPr>
        <a:solidFill>
          <a:schemeClr val="tx2">
            <a:lumMod val="20000"/>
            <a:lumOff val="80000"/>
          </a:schemeClr>
        </a:solidFill>
        <a:ln>
          <a:noFill/>
        </a:ln>
        <a:effectLst/>
      </c:spPr>
    </c:plotArea>
    <c:plotVisOnly val="1"/>
    <c:dispBlanksAs val="gap"/>
    <c:showDLblsOverMax val="0"/>
  </c:chart>
  <c:spPr>
    <a:solidFill>
      <a:schemeClr val="bg1"/>
    </a:solidFill>
    <a:ln w="6340" cap="flat" cmpd="sng" algn="ctr">
      <a:solidFill>
        <a:schemeClr val="tx1">
          <a:tint val="75000"/>
        </a:schemeClr>
      </a:solidFill>
      <a:prstDash val="solid"/>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Struktura!$B$7</c:f>
              <c:strCache>
                <c:ptCount val="1"/>
                <c:pt idx="0">
                  <c:v>Acquisitions and Mergers (existing investments)</c:v>
                </c:pt>
              </c:strCache>
            </c:strRef>
          </c:tx>
          <c:spPr>
            <a:solidFill>
              <a:schemeClr val="accent3">
                <a:shade val="76000"/>
              </a:schemeClr>
            </a:solidFill>
            <a:ln>
              <a:noFill/>
            </a:ln>
            <a:effectLst/>
          </c:spPr>
          <c:invertIfNegative val="0"/>
          <c:cat>
            <c:numRef>
              <c:f>Struktura!$C$6:$U$6</c:f>
              <c:numCache>
                <c:formatCode>General</c:formatCode>
                <c:ptCount val="19"/>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numCache>
            </c:numRef>
          </c:cat>
          <c:val>
            <c:numRef>
              <c:f>Struktura!$C$7:$U$7</c:f>
              <c:numCache>
                <c:formatCode>#,##0</c:formatCode>
                <c:ptCount val="19"/>
                <c:pt idx="0">
                  <c:v>71164371</c:v>
                </c:pt>
                <c:pt idx="1">
                  <c:v>181462084</c:v>
                </c:pt>
                <c:pt idx="2">
                  <c:v>227695600</c:v>
                </c:pt>
                <c:pt idx="3">
                  <c:v>405722068</c:v>
                </c:pt>
                <c:pt idx="4">
                  <c:v>479454006</c:v>
                </c:pt>
                <c:pt idx="5">
                  <c:v>596997981</c:v>
                </c:pt>
                <c:pt idx="6">
                  <c:v>656757623</c:v>
                </c:pt>
                <c:pt idx="7">
                  <c:v>753494097</c:v>
                </c:pt>
                <c:pt idx="8">
                  <c:v>904696421</c:v>
                </c:pt>
                <c:pt idx="9">
                  <c:v>1158747766</c:v>
                </c:pt>
                <c:pt idx="10">
                  <c:v>1446550764</c:v>
                </c:pt>
                <c:pt idx="11">
                  <c:v>1583453846</c:v>
                </c:pt>
                <c:pt idx="12">
                  <c:v>1562772817</c:v>
                </c:pt>
                <c:pt idx="13">
                  <c:v>1715372356.4913399</c:v>
                </c:pt>
                <c:pt idx="14">
                  <c:v>1944440816.0799999</c:v>
                </c:pt>
                <c:pt idx="15">
                  <c:v>2090310465.105691</c:v>
                </c:pt>
                <c:pt idx="16">
                  <c:v>2194274123.9089489</c:v>
                </c:pt>
                <c:pt idx="17">
                  <c:v>2111076393.2669098</c:v>
                </c:pt>
                <c:pt idx="18">
                  <c:v>2234458555.2490735</c:v>
                </c:pt>
              </c:numCache>
            </c:numRef>
          </c:val>
        </c:ser>
        <c:ser>
          <c:idx val="1"/>
          <c:order val="1"/>
          <c:tx>
            <c:strRef>
              <c:f>Struktura!$B$8</c:f>
              <c:strCache>
                <c:ptCount val="1"/>
                <c:pt idx="0">
                  <c:v>Greenfield (new investments)</c:v>
                </c:pt>
              </c:strCache>
            </c:strRef>
          </c:tx>
          <c:spPr>
            <a:solidFill>
              <a:schemeClr val="accent3">
                <a:tint val="77000"/>
              </a:schemeClr>
            </a:solidFill>
            <a:ln>
              <a:noFill/>
            </a:ln>
            <a:effectLst/>
          </c:spPr>
          <c:invertIfNegative val="0"/>
          <c:cat>
            <c:numRef>
              <c:f>Struktura!$C$6:$U$6</c:f>
              <c:numCache>
                <c:formatCode>General</c:formatCode>
                <c:ptCount val="19"/>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numCache>
            </c:numRef>
          </c:cat>
          <c:val>
            <c:numRef>
              <c:f>Struktura!$C$8:$U$8</c:f>
              <c:numCache>
                <c:formatCode>#,##0</c:formatCode>
                <c:ptCount val="19"/>
                <c:pt idx="0">
                  <c:v>36624976</c:v>
                </c:pt>
                <c:pt idx="1">
                  <c:v>44648801</c:v>
                </c:pt>
                <c:pt idx="2">
                  <c:v>66660673</c:v>
                </c:pt>
                <c:pt idx="3">
                  <c:v>111682087</c:v>
                </c:pt>
                <c:pt idx="4">
                  <c:v>547716209</c:v>
                </c:pt>
                <c:pt idx="5">
                  <c:v>541567690</c:v>
                </c:pt>
                <c:pt idx="6">
                  <c:v>589610848</c:v>
                </c:pt>
                <c:pt idx="7">
                  <c:v>642001483</c:v>
                </c:pt>
                <c:pt idx="8">
                  <c:v>719645569</c:v>
                </c:pt>
                <c:pt idx="9">
                  <c:v>791090467</c:v>
                </c:pt>
                <c:pt idx="10">
                  <c:v>912655694</c:v>
                </c:pt>
                <c:pt idx="11">
                  <c:v>957290821</c:v>
                </c:pt>
                <c:pt idx="12">
                  <c:v>1047556265</c:v>
                </c:pt>
                <c:pt idx="13">
                  <c:v>1066643598.03268</c:v>
                </c:pt>
                <c:pt idx="14">
                  <c:v>1286441193.7565999</c:v>
                </c:pt>
                <c:pt idx="15">
                  <c:v>1179821031.609756</c:v>
                </c:pt>
                <c:pt idx="16">
                  <c:v>1225988309.3512874</c:v>
                </c:pt>
                <c:pt idx="17">
                  <c:v>1081823229.2693424</c:v>
                </c:pt>
                <c:pt idx="18">
                  <c:v>1107691942.2612672</c:v>
                </c:pt>
              </c:numCache>
            </c:numRef>
          </c:val>
        </c:ser>
        <c:dLbls>
          <c:showLegendKey val="0"/>
          <c:showVal val="0"/>
          <c:showCatName val="0"/>
          <c:showSerName val="0"/>
          <c:showPercent val="0"/>
          <c:showBubbleSize val="0"/>
        </c:dLbls>
        <c:gapWidth val="150"/>
        <c:overlap val="100"/>
        <c:axId val="-964814160"/>
        <c:axId val="-964810352"/>
      </c:barChart>
      <c:catAx>
        <c:axId val="-964814160"/>
        <c:scaling>
          <c:orientation val="minMax"/>
        </c:scaling>
        <c:delete val="0"/>
        <c:axPos val="b"/>
        <c:numFmt formatCode="General" sourceLinked="1"/>
        <c:majorTickMark val="out"/>
        <c:minorTickMark val="none"/>
        <c:tickLblPos val="nextTo"/>
        <c:spPr>
          <a:noFill/>
          <a:ln w="6287" cap="flat" cmpd="sng" algn="ctr">
            <a:solidFill>
              <a:schemeClr val="tx1">
                <a:tint val="75000"/>
              </a:schemeClr>
            </a:solidFill>
            <a:prstDash val="solid"/>
            <a:round/>
          </a:ln>
          <a:effectLst/>
        </c:spPr>
        <c:txPr>
          <a:bodyPr rot="-5400000" spcFirstLastPara="1" vertOverflow="ellipsis" wrap="square" anchor="ctr" anchorCtr="1"/>
          <a:lstStyle/>
          <a:p>
            <a:pPr>
              <a:defRPr sz="990" b="0" i="0" u="none" strike="noStrike" kern="1200" baseline="0">
                <a:solidFill>
                  <a:schemeClr val="tx1"/>
                </a:solidFill>
                <a:latin typeface="+mn-lt"/>
                <a:ea typeface="+mn-ea"/>
                <a:cs typeface="+mn-cs"/>
              </a:defRPr>
            </a:pPr>
            <a:endParaRPr lang="en-US"/>
          </a:p>
        </c:txPr>
        <c:crossAx val="-964810352"/>
        <c:crosses val="autoZero"/>
        <c:auto val="1"/>
        <c:lblAlgn val="ctr"/>
        <c:lblOffset val="100"/>
        <c:noMultiLvlLbl val="0"/>
      </c:catAx>
      <c:valAx>
        <c:axId val="-964810352"/>
        <c:scaling>
          <c:orientation val="minMax"/>
        </c:scaling>
        <c:delete val="0"/>
        <c:axPos val="l"/>
        <c:majorGridlines>
          <c:spPr>
            <a:ln w="6287" cap="flat" cmpd="sng" algn="ctr">
              <a:solidFill>
                <a:schemeClr val="tx1">
                  <a:tint val="75000"/>
                </a:schemeClr>
              </a:solidFill>
              <a:prstDash val="solid"/>
              <a:round/>
            </a:ln>
            <a:effectLst/>
          </c:spPr>
        </c:majorGridlines>
        <c:numFmt formatCode="#,##0" sourceLinked="1"/>
        <c:majorTickMark val="out"/>
        <c:minorTickMark val="none"/>
        <c:tickLblPos val="nextTo"/>
        <c:spPr>
          <a:noFill/>
          <a:ln w="6287" cap="flat" cmpd="sng" algn="ctr">
            <a:solidFill>
              <a:schemeClr val="tx1">
                <a:tint val="75000"/>
              </a:schemeClr>
            </a:solidFill>
            <a:prstDash val="solid"/>
            <a:round/>
          </a:ln>
          <a:effectLst/>
        </c:spPr>
        <c:txPr>
          <a:bodyPr rot="-60000000" spcFirstLastPara="1" vertOverflow="ellipsis" vert="horz" wrap="square" anchor="ctr" anchorCtr="1"/>
          <a:lstStyle/>
          <a:p>
            <a:pPr>
              <a:defRPr sz="990" b="0" i="0" u="none" strike="noStrike" kern="1200" baseline="0">
                <a:solidFill>
                  <a:schemeClr val="tx1"/>
                </a:solidFill>
                <a:latin typeface="+mn-lt"/>
                <a:ea typeface="+mn-ea"/>
                <a:cs typeface="+mn-cs"/>
              </a:defRPr>
            </a:pPr>
            <a:endParaRPr lang="en-US"/>
          </a:p>
        </c:txPr>
        <c:crossAx val="-964814160"/>
        <c:crosses val="autoZero"/>
        <c:crossBetween val="between"/>
      </c:valAx>
      <c:spPr>
        <a:solidFill>
          <a:srgbClr val="FFFFFF"/>
        </a:solidFill>
        <a:ln w="25154">
          <a:noFill/>
        </a:ln>
      </c:spPr>
    </c:plotArea>
    <c:legend>
      <c:legendPos val="b"/>
      <c:layout>
        <c:manualLayout>
          <c:xMode val="edge"/>
          <c:yMode val="edge"/>
          <c:x val="5.5374592833876218E-2"/>
          <c:y val="0.86693566918593001"/>
          <c:w val="0.87785016286644946"/>
          <c:h val="9.6774288756074189E-2"/>
        </c:manualLayout>
      </c:layout>
      <c:overlay val="0"/>
      <c:spPr>
        <a:noFill/>
        <a:ln w="25154">
          <a:noFill/>
        </a:ln>
      </c:spPr>
      <c:txPr>
        <a:bodyPr rot="0" spcFirstLastPara="1" vertOverflow="ellipsis" vert="horz" wrap="square" anchor="ctr" anchorCtr="1"/>
        <a:lstStyle/>
        <a:p>
          <a:pPr>
            <a:defRPr sz="99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287" cap="flat" cmpd="sng" algn="ctr">
      <a:solidFill>
        <a:schemeClr val="tx1">
          <a:tint val="75000"/>
        </a:schemeClr>
      </a:solidFill>
      <a:prstDash val="solid"/>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15</Pages>
  <Words>4776</Words>
  <Characters>27225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COMPARISON OF THE OLD AND NEW POLICY ON SUPPORTING INVESTMENT IN THE REPUBLIC OF NORTH MACEDONIA</vt:lpstr>
    </vt:vector>
  </TitlesOfParts>
  <Company>Ekonomski Fakultet</Company>
  <LinksUpToDate>false</LinksUpToDate>
  <CharactersWithSpaces>31938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OLD AND NEW POLICY ON SUPPORTING INVESTMENT IN THE REPUBLIC OF NORTH MACEDONIA</dc:title>
  <dc:creator>Irena Kikerkova</dc:creator>
  <cp:lastModifiedBy>Katerina Toshevska-Trpchevska</cp:lastModifiedBy>
  <cp:revision>2</cp:revision>
  <dcterms:created xsi:type="dcterms:W3CDTF">2019-06-11T08:48:00Z</dcterms:created>
  <dcterms:modified xsi:type="dcterms:W3CDTF">2019-06-11T08:48:00Z</dcterms:modified>
</cp:coreProperties>
</file>